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E38B09" w14:textId="31CAD8C0" w:rsidR="006626DB" w:rsidRPr="00F01331" w:rsidRDefault="00DD4660" w:rsidP="00232B6A">
      <w:pPr>
        <w:spacing w:after="0" w:line="240" w:lineRule="auto"/>
        <w:jc w:val="center"/>
        <w:rPr>
          <w:rFonts w:ascii="Book Antiqua" w:hAnsi="Book Antiqua" w:cs="Times New Roman"/>
          <w:b/>
          <w:sz w:val="26"/>
          <w:szCs w:val="26"/>
        </w:rPr>
      </w:pPr>
      <w:r w:rsidRPr="00DD4660">
        <w:rPr>
          <w:rFonts w:ascii="Book Antiqua" w:hAnsi="Book Antiqua"/>
          <w:b/>
          <w:bCs/>
          <w:sz w:val="26"/>
          <w:szCs w:val="26"/>
        </w:rPr>
        <w:t>AUTHORITY OF THE STATE INTELLIGENCE AGENCY IN NATIONAL SECURITY LAW</w:t>
      </w:r>
    </w:p>
    <w:p w14:paraId="6759BEFF" w14:textId="77777777" w:rsidR="00A8094B" w:rsidRPr="00546A59" w:rsidRDefault="00A8094B" w:rsidP="00FD69E5">
      <w:pPr>
        <w:spacing w:after="0" w:line="240" w:lineRule="auto"/>
        <w:jc w:val="center"/>
        <w:rPr>
          <w:rFonts w:ascii="Book Antiqua" w:hAnsi="Book Antiqua" w:cs="Times New Roman"/>
          <w:b/>
          <w:szCs w:val="16"/>
        </w:rPr>
      </w:pPr>
    </w:p>
    <w:p w14:paraId="7CCB8EE4" w14:textId="7B5681C2" w:rsidR="00A8094B" w:rsidRPr="00546A59" w:rsidRDefault="00DD4660" w:rsidP="00950730">
      <w:pPr>
        <w:spacing w:after="0" w:line="240" w:lineRule="auto"/>
        <w:jc w:val="center"/>
        <w:rPr>
          <w:rFonts w:ascii="Book Antiqua" w:hAnsi="Book Antiqua" w:cs="Times New Roman"/>
          <w:b/>
          <w:color w:val="FF0000"/>
          <w:vertAlign w:val="superscript"/>
        </w:rPr>
      </w:pPr>
      <w:r w:rsidRPr="00DD4660">
        <w:rPr>
          <w:rFonts w:ascii="Book Antiqua" w:hAnsi="Book Antiqua" w:cs="Times New Roman"/>
          <w:b/>
        </w:rPr>
        <w:t>Abdas Raga Sugara*, M. Hadin Muhjad, Rudy Indrawan</w:t>
      </w:r>
    </w:p>
    <w:p w14:paraId="2835C6BA" w14:textId="77777777" w:rsidR="00A8094B" w:rsidRPr="00C564B5" w:rsidRDefault="00A8094B" w:rsidP="00FD69E5">
      <w:pPr>
        <w:spacing w:after="0" w:line="240" w:lineRule="auto"/>
        <w:jc w:val="center"/>
        <w:rPr>
          <w:rFonts w:ascii="Book Antiqua" w:hAnsi="Book Antiqua" w:cs="Times New Roman"/>
          <w:b/>
          <w:color w:val="FF0000"/>
        </w:rPr>
      </w:pPr>
    </w:p>
    <w:p w14:paraId="0F25BFCF" w14:textId="350F73DF" w:rsidR="00B13071" w:rsidRPr="00D33261" w:rsidRDefault="00DD4660" w:rsidP="00AE5CEA">
      <w:pPr>
        <w:spacing w:after="0" w:line="240" w:lineRule="auto"/>
        <w:jc w:val="center"/>
        <w:rPr>
          <w:rFonts w:ascii="Book Antiqua" w:hAnsi="Book Antiqua" w:cs="Times New Roman"/>
          <w:sz w:val="20"/>
          <w:szCs w:val="20"/>
        </w:rPr>
      </w:pPr>
      <w:r w:rsidRPr="00DD4660">
        <w:rPr>
          <w:rFonts w:ascii="Book Antiqua" w:hAnsi="Book Antiqua" w:cs="Times New Roman"/>
          <w:sz w:val="20"/>
          <w:szCs w:val="20"/>
        </w:rPr>
        <w:t>Law Study Program, Doctoral Program, Faculty of Law, Universitas Lambung Mangkurat, Banjarmasin City, South Kalimantan, Indonesia</w:t>
      </w:r>
    </w:p>
    <w:p w14:paraId="62C19983" w14:textId="77777777" w:rsidR="003C4A92" w:rsidRPr="00A042C7" w:rsidRDefault="003C4A92" w:rsidP="00FD69E5">
      <w:pPr>
        <w:spacing w:after="0" w:line="240" w:lineRule="auto"/>
        <w:jc w:val="center"/>
        <w:rPr>
          <w:rFonts w:ascii="Book Antiqua" w:hAnsi="Book Antiqua" w:cs="Times New Roman"/>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1"/>
        <w:gridCol w:w="283"/>
        <w:gridCol w:w="2410"/>
      </w:tblGrid>
      <w:tr w:rsidR="005875E0" w:rsidRPr="00AF7E8F" w14:paraId="5737B82F" w14:textId="77777777" w:rsidTr="00297D7B">
        <w:tc>
          <w:tcPr>
            <w:tcW w:w="1101" w:type="dxa"/>
          </w:tcPr>
          <w:p w14:paraId="72E20591" w14:textId="50AF0BDC" w:rsidR="005875E0" w:rsidRPr="00AF7E8F" w:rsidRDefault="005875E0" w:rsidP="00FD69E5">
            <w:pPr>
              <w:jc w:val="both"/>
              <w:rPr>
                <w:rFonts w:ascii="Book Antiqua" w:hAnsi="Book Antiqua" w:cs="Times New Roman"/>
                <w:sz w:val="20"/>
                <w:szCs w:val="20"/>
              </w:rPr>
            </w:pPr>
            <w:r w:rsidRPr="00AF7E8F">
              <w:rPr>
                <w:rFonts w:ascii="Book Antiqua" w:hAnsi="Book Antiqua" w:cs="Times New Roman"/>
                <w:sz w:val="20"/>
                <w:szCs w:val="20"/>
              </w:rPr>
              <w:t>Submit</w:t>
            </w:r>
          </w:p>
        </w:tc>
        <w:tc>
          <w:tcPr>
            <w:tcW w:w="283" w:type="dxa"/>
          </w:tcPr>
          <w:p w14:paraId="63FC873B" w14:textId="6666DF25" w:rsidR="005875E0" w:rsidRPr="00AF7E8F" w:rsidRDefault="005875E0" w:rsidP="00FD69E5">
            <w:pPr>
              <w:jc w:val="both"/>
              <w:rPr>
                <w:rFonts w:ascii="Book Antiqua" w:hAnsi="Book Antiqua" w:cs="Times New Roman"/>
                <w:sz w:val="20"/>
                <w:szCs w:val="20"/>
              </w:rPr>
            </w:pPr>
            <w:r w:rsidRPr="00AF7E8F">
              <w:rPr>
                <w:rFonts w:ascii="Book Antiqua" w:hAnsi="Book Antiqua" w:cs="Times New Roman"/>
                <w:sz w:val="20"/>
                <w:szCs w:val="20"/>
              </w:rPr>
              <w:t>:</w:t>
            </w:r>
          </w:p>
        </w:tc>
        <w:tc>
          <w:tcPr>
            <w:tcW w:w="2410" w:type="dxa"/>
          </w:tcPr>
          <w:p w14:paraId="69DCD080" w14:textId="04854B6A" w:rsidR="005875E0" w:rsidRPr="00AF7E8F" w:rsidRDefault="00E0509B" w:rsidP="00FD69E5">
            <w:pPr>
              <w:jc w:val="both"/>
              <w:rPr>
                <w:rFonts w:ascii="Book Antiqua" w:hAnsi="Book Antiqua" w:cs="Times New Roman"/>
                <w:sz w:val="20"/>
                <w:szCs w:val="20"/>
              </w:rPr>
            </w:pPr>
            <w:r>
              <w:rPr>
                <w:rFonts w:ascii="Book Antiqua" w:hAnsi="Book Antiqua" w:cs="Times New Roman"/>
                <w:sz w:val="20"/>
                <w:szCs w:val="20"/>
              </w:rPr>
              <w:t>June</w:t>
            </w:r>
            <w:r w:rsidR="00297D7B">
              <w:rPr>
                <w:rFonts w:ascii="Book Antiqua" w:hAnsi="Book Antiqua" w:cs="Times New Roman"/>
                <w:sz w:val="20"/>
                <w:szCs w:val="20"/>
              </w:rPr>
              <w:t xml:space="preserve"> </w:t>
            </w:r>
            <w:r w:rsidR="008D3B3E">
              <w:rPr>
                <w:rFonts w:ascii="Book Antiqua" w:hAnsi="Book Antiqua" w:cs="Times New Roman"/>
                <w:sz w:val="20"/>
                <w:szCs w:val="20"/>
              </w:rPr>
              <w:t>30</w:t>
            </w:r>
            <w:r w:rsidR="00297D7B">
              <w:rPr>
                <w:rFonts w:ascii="Book Antiqua" w:hAnsi="Book Antiqua" w:cs="Times New Roman"/>
                <w:sz w:val="20"/>
                <w:szCs w:val="20"/>
              </w:rPr>
              <w:t>, 202</w:t>
            </w:r>
            <w:r w:rsidR="00DD4660">
              <w:rPr>
                <w:rFonts w:ascii="Book Antiqua" w:hAnsi="Book Antiqua" w:cs="Times New Roman"/>
                <w:sz w:val="20"/>
                <w:szCs w:val="20"/>
              </w:rPr>
              <w:t>5</w:t>
            </w:r>
          </w:p>
        </w:tc>
      </w:tr>
      <w:tr w:rsidR="005875E0" w:rsidRPr="00AF7E8F" w14:paraId="22037B38" w14:textId="77777777" w:rsidTr="00297D7B">
        <w:trPr>
          <w:trHeight w:val="80"/>
        </w:trPr>
        <w:tc>
          <w:tcPr>
            <w:tcW w:w="1101" w:type="dxa"/>
          </w:tcPr>
          <w:p w14:paraId="439AF4C9" w14:textId="21F9D4D2" w:rsidR="005875E0" w:rsidRPr="00AF7E8F" w:rsidRDefault="00A5619D" w:rsidP="00FD69E5">
            <w:pPr>
              <w:jc w:val="both"/>
              <w:rPr>
                <w:rFonts w:ascii="Book Antiqua" w:hAnsi="Book Antiqua" w:cs="Times New Roman"/>
                <w:sz w:val="20"/>
                <w:szCs w:val="20"/>
              </w:rPr>
            </w:pPr>
            <w:r w:rsidRPr="00AF7E8F">
              <w:rPr>
                <w:rFonts w:ascii="Book Antiqua" w:hAnsi="Book Antiqua" w:cs="Times New Roman"/>
                <w:sz w:val="20"/>
                <w:szCs w:val="20"/>
              </w:rPr>
              <w:t>Accepted</w:t>
            </w:r>
          </w:p>
        </w:tc>
        <w:tc>
          <w:tcPr>
            <w:tcW w:w="283" w:type="dxa"/>
          </w:tcPr>
          <w:p w14:paraId="2AAD9A63" w14:textId="364A7E9A" w:rsidR="005875E0" w:rsidRPr="00AF7E8F" w:rsidRDefault="005875E0" w:rsidP="00FD69E5">
            <w:pPr>
              <w:jc w:val="both"/>
              <w:rPr>
                <w:rFonts w:ascii="Book Antiqua" w:hAnsi="Book Antiqua" w:cs="Times New Roman"/>
                <w:sz w:val="20"/>
                <w:szCs w:val="20"/>
              </w:rPr>
            </w:pPr>
            <w:r w:rsidRPr="00AF7E8F">
              <w:rPr>
                <w:rFonts w:ascii="Book Antiqua" w:hAnsi="Book Antiqua" w:cs="Times New Roman"/>
                <w:sz w:val="20"/>
                <w:szCs w:val="20"/>
              </w:rPr>
              <w:t>:</w:t>
            </w:r>
          </w:p>
        </w:tc>
        <w:tc>
          <w:tcPr>
            <w:tcW w:w="2410" w:type="dxa"/>
          </w:tcPr>
          <w:p w14:paraId="610899DC" w14:textId="35E3BEF2" w:rsidR="005875E0" w:rsidRPr="00AF7E8F" w:rsidRDefault="00E0509B" w:rsidP="00FD69E5">
            <w:pPr>
              <w:jc w:val="both"/>
              <w:rPr>
                <w:rFonts w:ascii="Book Antiqua" w:hAnsi="Book Antiqua" w:cs="Times New Roman"/>
                <w:sz w:val="20"/>
                <w:szCs w:val="20"/>
              </w:rPr>
            </w:pPr>
            <w:r>
              <w:rPr>
                <w:rFonts w:ascii="Book Antiqua" w:hAnsi="Book Antiqua" w:cs="Times New Roman"/>
                <w:sz w:val="20"/>
                <w:szCs w:val="20"/>
              </w:rPr>
              <w:t>September</w:t>
            </w:r>
            <w:r w:rsidR="00297D7B">
              <w:rPr>
                <w:rFonts w:ascii="Book Antiqua" w:hAnsi="Book Antiqua" w:cs="Times New Roman"/>
                <w:sz w:val="20"/>
                <w:szCs w:val="20"/>
              </w:rPr>
              <w:t xml:space="preserve"> </w:t>
            </w:r>
            <w:r>
              <w:rPr>
                <w:rFonts w:ascii="Book Antiqua" w:hAnsi="Book Antiqua" w:cs="Times New Roman"/>
                <w:sz w:val="20"/>
                <w:szCs w:val="20"/>
              </w:rPr>
              <w:t>22</w:t>
            </w:r>
            <w:r w:rsidR="00297D7B">
              <w:rPr>
                <w:rFonts w:ascii="Book Antiqua" w:hAnsi="Book Antiqua" w:cs="Times New Roman"/>
                <w:sz w:val="20"/>
                <w:szCs w:val="20"/>
              </w:rPr>
              <w:t xml:space="preserve">, </w:t>
            </w:r>
            <w:r w:rsidR="005875E0" w:rsidRPr="00AF7E8F">
              <w:rPr>
                <w:rFonts w:ascii="Book Antiqua" w:hAnsi="Book Antiqua" w:cs="Times New Roman"/>
                <w:sz w:val="20"/>
                <w:szCs w:val="20"/>
              </w:rPr>
              <w:t>202</w:t>
            </w:r>
            <w:r w:rsidR="00DD4660">
              <w:rPr>
                <w:rFonts w:ascii="Book Antiqua" w:hAnsi="Book Antiqua" w:cs="Times New Roman"/>
                <w:sz w:val="20"/>
                <w:szCs w:val="20"/>
              </w:rPr>
              <w:t>5</w:t>
            </w:r>
          </w:p>
        </w:tc>
      </w:tr>
    </w:tbl>
    <w:p w14:paraId="2E2F8D19" w14:textId="1B08B834" w:rsidR="005875E0" w:rsidRPr="00AF7E8F" w:rsidRDefault="003C4A92" w:rsidP="00FD69E5">
      <w:pPr>
        <w:spacing w:after="0" w:line="240" w:lineRule="auto"/>
        <w:jc w:val="both"/>
        <w:rPr>
          <w:rFonts w:ascii="Book Antiqua" w:hAnsi="Book Antiqua" w:cs="Times New Roman"/>
          <w:b/>
          <w:bCs/>
          <w:sz w:val="20"/>
          <w:szCs w:val="20"/>
        </w:rPr>
      </w:pPr>
      <w:r w:rsidRPr="00AF7E8F">
        <w:rPr>
          <w:rFonts w:ascii="Book Antiqua" w:hAnsi="Book Antiqua" w:cs="Times New Roman"/>
          <w:b/>
          <w:bCs/>
          <w:sz w:val="20"/>
          <w:szCs w:val="20"/>
        </w:rPr>
        <w:t>*Corresponding author</w:t>
      </w:r>
    </w:p>
    <w:p w14:paraId="388F5ACA" w14:textId="77777777" w:rsidR="00FB3355" w:rsidRPr="00A042C7" w:rsidRDefault="00FB3355" w:rsidP="00FD69E5">
      <w:pPr>
        <w:spacing w:after="0" w:line="240" w:lineRule="auto"/>
        <w:jc w:val="both"/>
        <w:rPr>
          <w:rFonts w:ascii="Book Antiqua" w:hAnsi="Book Antiqua" w:cs="Times New Roman"/>
          <w:b/>
          <w:bCs/>
        </w:rPr>
      </w:pPr>
    </w:p>
    <w:p w14:paraId="4359D5DB" w14:textId="77777777" w:rsidR="00A8094B" w:rsidRPr="00A042C7" w:rsidRDefault="00A8094B" w:rsidP="00FD69E5">
      <w:pPr>
        <w:spacing w:after="0" w:line="240" w:lineRule="auto"/>
        <w:jc w:val="center"/>
        <w:rPr>
          <w:rFonts w:ascii="Book Antiqua" w:hAnsi="Book Antiqua" w:cs="Times New Roman"/>
          <w:b/>
          <w:sz w:val="20"/>
          <w:szCs w:val="20"/>
        </w:rPr>
      </w:pPr>
      <w:r w:rsidRPr="00A042C7">
        <w:rPr>
          <w:rFonts w:ascii="Book Antiqua" w:hAnsi="Book Antiqua" w:cs="Times New Roman"/>
          <w:b/>
          <w:sz w:val="20"/>
          <w:szCs w:val="20"/>
        </w:rPr>
        <w:t>A</w:t>
      </w:r>
      <w:r w:rsidR="00DF7F45" w:rsidRPr="00A042C7">
        <w:rPr>
          <w:rFonts w:ascii="Book Antiqua" w:hAnsi="Book Antiqua" w:cs="Times New Roman"/>
          <w:b/>
          <w:sz w:val="20"/>
          <w:szCs w:val="20"/>
        </w:rPr>
        <w:t>bstract</w:t>
      </w:r>
    </w:p>
    <w:p w14:paraId="686E073A" w14:textId="23E6AC47" w:rsidR="00A8094B" w:rsidRPr="000F1FC1" w:rsidRDefault="000F1FC1" w:rsidP="000F1FC1">
      <w:pPr>
        <w:spacing w:after="0" w:line="240" w:lineRule="auto"/>
        <w:jc w:val="both"/>
        <w:rPr>
          <w:rFonts w:ascii="Book Antiqua" w:hAnsi="Book Antiqua" w:cs="Times New Roman"/>
          <w:sz w:val="20"/>
          <w:szCs w:val="20"/>
        </w:rPr>
      </w:pPr>
      <w:r w:rsidRPr="000F1FC1">
        <w:rPr>
          <w:rFonts w:ascii="Book Antiqua" w:hAnsi="Book Antiqua" w:cs="Times New Roman"/>
          <w:sz w:val="20"/>
          <w:szCs w:val="20"/>
        </w:rPr>
        <w:t>This study examines the authority of the State Intelligence Agency (Badan Intelijen Negara, BIN) from the perspective of national security law based on the Constitution of the Republic of Indonesia. The central issue arises from the constitutional mandate to protect the nation and the state, alongside the contentious debates concerning the scope of intelligence authority within the contexts of law, democracy, and human rights. This research employs a normative legal method with constitutional, statutory, and conceptual approaches, drawing upon analyses of both primary and secondary legal materials.</w:t>
      </w:r>
      <w:r>
        <w:rPr>
          <w:rFonts w:ascii="Book Antiqua" w:hAnsi="Book Antiqua" w:cs="Times New Roman"/>
          <w:sz w:val="20"/>
          <w:szCs w:val="20"/>
        </w:rPr>
        <w:t xml:space="preserve"> </w:t>
      </w:r>
      <w:r w:rsidRPr="000F1FC1">
        <w:rPr>
          <w:rFonts w:ascii="Book Antiqua" w:hAnsi="Book Antiqua" w:cs="Times New Roman"/>
          <w:sz w:val="20"/>
          <w:szCs w:val="20"/>
        </w:rPr>
        <w:t>The findings reveal that although BIN possesses strong philosophical, juridical, and sociological legitimacy, the provisions of Law No. 17 of 2011 continue to leave unresolved problems. These include the ambiguous definition of threats, the authorization of wiretapping without judicial oversight, and weak mechanisms of accountability. The absence of a National Security Law further exacerbates the uncertainty of BIN’s authority due to the lack of a comprehensive legal framework, resulting in institutional disharmony and potential human rights violations.</w:t>
      </w:r>
      <w:r>
        <w:rPr>
          <w:rFonts w:ascii="Book Antiqua" w:hAnsi="Book Antiqua" w:cs="Times New Roman"/>
          <w:sz w:val="20"/>
          <w:szCs w:val="20"/>
        </w:rPr>
        <w:t xml:space="preserve"> </w:t>
      </w:r>
      <w:r w:rsidRPr="000F1FC1">
        <w:rPr>
          <w:rFonts w:ascii="Book Antiqua" w:hAnsi="Book Antiqua" w:cs="Times New Roman"/>
          <w:sz w:val="20"/>
          <w:szCs w:val="20"/>
        </w:rPr>
        <w:t>The discussion emphasizes that the principle of the rule of law requires legal certainty, limitation of powers, and independent oversight mechanisms, while the principle of human rights obliges intelligence authority to be exercised proportionally, accountably, and democratically. In conclusion, reconstructing BIN’s authority is urgently needed through the establishment of a National Security Law as a comprehensive legal framework, ensuring that intelligence powers operate in accordance with constitutional principles, the rule of law, and the protection of human rights.</w:t>
      </w:r>
    </w:p>
    <w:p w14:paraId="60181FA6" w14:textId="77777777" w:rsidR="007A4CC4" w:rsidRPr="00A042C7" w:rsidRDefault="007A4CC4" w:rsidP="00FD69E5">
      <w:pPr>
        <w:spacing w:after="0" w:line="240" w:lineRule="auto"/>
        <w:jc w:val="both"/>
        <w:rPr>
          <w:rFonts w:ascii="Book Antiqua" w:hAnsi="Book Antiqua" w:cs="Times New Roman"/>
          <w:sz w:val="20"/>
        </w:rPr>
      </w:pPr>
    </w:p>
    <w:p w14:paraId="5D5355E2" w14:textId="6EEFC388" w:rsidR="00C65C6B" w:rsidRPr="00A042C7" w:rsidRDefault="00DF7F45" w:rsidP="00FD69E5">
      <w:pPr>
        <w:spacing w:after="0" w:line="240" w:lineRule="auto"/>
        <w:rPr>
          <w:rFonts w:ascii="Book Antiqua" w:eastAsia="Times New Roman" w:hAnsi="Book Antiqua" w:cs="Times New Roman"/>
          <w:i/>
          <w:iCs/>
          <w:color w:val="C0504D" w:themeColor="accent2"/>
          <w:spacing w:val="-4"/>
          <w:sz w:val="14"/>
          <w:szCs w:val="14"/>
        </w:rPr>
      </w:pPr>
      <w:r w:rsidRPr="00A042C7">
        <w:rPr>
          <w:rFonts w:ascii="Book Antiqua" w:hAnsi="Book Antiqua" w:cs="Times New Roman"/>
          <w:b/>
          <w:sz w:val="20"/>
        </w:rPr>
        <w:t>Keywords</w:t>
      </w:r>
      <w:r w:rsidR="007D1726" w:rsidRPr="00A042C7">
        <w:rPr>
          <w:rFonts w:ascii="Book Antiqua" w:hAnsi="Book Antiqua" w:cs="Times New Roman"/>
          <w:b/>
          <w:sz w:val="20"/>
        </w:rPr>
        <w:t>:</w:t>
      </w:r>
      <w:r w:rsidR="008979E9" w:rsidRPr="008979E9">
        <w:rPr>
          <w:rFonts w:ascii="Book Antiqua" w:hAnsi="Book Antiqua" w:cs="Times New Roman"/>
          <w:sz w:val="20"/>
        </w:rPr>
        <w:t xml:space="preserve"> </w:t>
      </w:r>
      <w:r w:rsidR="00DD4660">
        <w:rPr>
          <w:rFonts w:ascii="Book Antiqua" w:hAnsi="Book Antiqua" w:cs="Times New Roman"/>
          <w:sz w:val="20"/>
        </w:rPr>
        <w:t>A</w:t>
      </w:r>
      <w:r w:rsidR="00DD4660" w:rsidRPr="00DD4660">
        <w:rPr>
          <w:rFonts w:ascii="Book Antiqua" w:hAnsi="Book Antiqua" w:cs="Times New Roman"/>
          <w:sz w:val="20"/>
        </w:rPr>
        <w:t xml:space="preserve">uthority, Indonesia, </w:t>
      </w:r>
      <w:r w:rsidR="00DD4660">
        <w:rPr>
          <w:rFonts w:ascii="Book Antiqua" w:hAnsi="Book Antiqua" w:cs="Times New Roman"/>
          <w:sz w:val="20"/>
        </w:rPr>
        <w:t>L</w:t>
      </w:r>
      <w:r w:rsidR="00DD4660" w:rsidRPr="00DD4660">
        <w:rPr>
          <w:rFonts w:ascii="Book Antiqua" w:hAnsi="Book Antiqua" w:cs="Times New Roman"/>
          <w:sz w:val="20"/>
        </w:rPr>
        <w:t xml:space="preserve">aw, </w:t>
      </w:r>
      <w:r w:rsidR="00DD4660">
        <w:rPr>
          <w:rFonts w:ascii="Book Antiqua" w:hAnsi="Book Antiqua" w:cs="Times New Roman"/>
          <w:sz w:val="20"/>
        </w:rPr>
        <w:t>N</w:t>
      </w:r>
      <w:r w:rsidR="00DD4660" w:rsidRPr="00DD4660">
        <w:rPr>
          <w:rFonts w:ascii="Book Antiqua" w:hAnsi="Book Antiqua" w:cs="Times New Roman"/>
          <w:sz w:val="20"/>
        </w:rPr>
        <w:t xml:space="preserve">ational </w:t>
      </w:r>
      <w:r w:rsidR="00DD4660">
        <w:rPr>
          <w:rFonts w:ascii="Book Antiqua" w:hAnsi="Book Antiqua" w:cs="Times New Roman"/>
          <w:sz w:val="20"/>
        </w:rPr>
        <w:t>S</w:t>
      </w:r>
      <w:r w:rsidR="00DD4660" w:rsidRPr="00DD4660">
        <w:rPr>
          <w:rFonts w:ascii="Book Antiqua" w:hAnsi="Book Antiqua" w:cs="Times New Roman"/>
          <w:sz w:val="20"/>
        </w:rPr>
        <w:t>ecurity, State Intelligence Agency</w:t>
      </w:r>
      <w:r w:rsidR="001B2EE7">
        <w:rPr>
          <w:rFonts w:ascii="Book Antiqua" w:hAnsi="Book Antiqua" w:cs="Times New Roman"/>
          <w:sz w:val="20"/>
        </w:rPr>
        <w:t>.</w:t>
      </w:r>
    </w:p>
    <w:p w14:paraId="2F6A3EC2" w14:textId="69358CF9" w:rsidR="00BE1395" w:rsidRPr="00A042C7" w:rsidRDefault="00BE1395" w:rsidP="00FD69E5">
      <w:pPr>
        <w:spacing w:after="0" w:line="240" w:lineRule="auto"/>
        <w:ind w:right="567"/>
        <w:jc w:val="both"/>
        <w:rPr>
          <w:rFonts w:ascii="Book Antiqua" w:eastAsia="Times New Roman" w:hAnsi="Book Antiqua" w:cs="Times New Roman"/>
          <w:i/>
          <w:iCs/>
          <w:color w:val="C0504D" w:themeColor="accent2"/>
          <w:spacing w:val="-4"/>
          <w:sz w:val="16"/>
          <w:szCs w:val="16"/>
        </w:rPr>
      </w:pPr>
    </w:p>
    <w:p w14:paraId="466E144F" w14:textId="07EB8C3C" w:rsidR="00E16028" w:rsidRPr="00A042C7" w:rsidRDefault="00E16028" w:rsidP="00FD69E5">
      <w:pPr>
        <w:spacing w:after="0" w:line="240" w:lineRule="auto"/>
        <w:ind w:right="567"/>
        <w:jc w:val="both"/>
        <w:rPr>
          <w:rFonts w:ascii="Book Antiqua" w:eastAsia="Times New Roman" w:hAnsi="Book Antiqua" w:cs="Times New Roman"/>
          <w:i/>
          <w:iCs/>
          <w:color w:val="C0504D" w:themeColor="accent2"/>
          <w:spacing w:val="-4"/>
          <w:sz w:val="16"/>
          <w:szCs w:val="16"/>
        </w:rPr>
      </w:pPr>
    </w:p>
    <w:p w14:paraId="0B1DE3DD" w14:textId="074B649C" w:rsidR="00744BBB" w:rsidRPr="00A042C7" w:rsidRDefault="00744BBB" w:rsidP="00FD69E5">
      <w:pPr>
        <w:spacing w:after="0" w:line="240" w:lineRule="auto"/>
        <w:ind w:right="567"/>
        <w:rPr>
          <w:rFonts w:ascii="Book Antiqua" w:eastAsia="Times New Roman" w:hAnsi="Book Antiqua" w:cs="Times New Roman"/>
          <w:i/>
          <w:iCs/>
          <w:color w:val="4F81BD" w:themeColor="accent1"/>
          <w:spacing w:val="-4"/>
          <w:sz w:val="16"/>
          <w:szCs w:val="16"/>
        </w:rPr>
        <w:sectPr w:rsidR="00744BBB" w:rsidRPr="00A042C7" w:rsidSect="009B2C05">
          <w:headerReference w:type="default" r:id="rId7"/>
          <w:footerReference w:type="default" r:id="rId8"/>
          <w:pgSz w:w="12240" w:h="15840"/>
          <w:pgMar w:top="1440" w:right="1440" w:bottom="1440" w:left="1440" w:header="426" w:footer="708" w:gutter="0"/>
          <w:pgNumType w:start="97"/>
          <w:cols w:space="708"/>
          <w:docGrid w:linePitch="360"/>
        </w:sectPr>
      </w:pPr>
    </w:p>
    <w:p w14:paraId="711C846A" w14:textId="1943740F" w:rsidR="007A4CC4" w:rsidRPr="00D33261" w:rsidRDefault="00DF7F45" w:rsidP="00FD69E5">
      <w:pPr>
        <w:spacing w:after="0" w:line="240" w:lineRule="auto"/>
        <w:jc w:val="center"/>
        <w:rPr>
          <w:rFonts w:ascii="Book Antiqua" w:hAnsi="Book Antiqua" w:cs="Times New Roman"/>
          <w:b/>
        </w:rPr>
      </w:pPr>
      <w:r w:rsidRPr="00D33261">
        <w:rPr>
          <w:rFonts w:ascii="Book Antiqua" w:hAnsi="Book Antiqua" w:cs="Times New Roman"/>
          <w:b/>
        </w:rPr>
        <w:lastRenderedPageBreak/>
        <w:t>INTRODUCTION</w:t>
      </w:r>
    </w:p>
    <w:p w14:paraId="0EE0BBB6" w14:textId="77777777" w:rsidR="000F1FC1" w:rsidRPr="000F1FC1" w:rsidRDefault="000F1FC1" w:rsidP="000F1FC1">
      <w:pPr>
        <w:pStyle w:val="Default"/>
        <w:jc w:val="both"/>
        <w:rPr>
          <w:rFonts w:ascii="Book Antiqua" w:hAnsi="Book Antiqua"/>
          <w:sz w:val="22"/>
          <w:szCs w:val="22"/>
          <w:lang w:val="en-ID"/>
        </w:rPr>
      </w:pPr>
      <w:r w:rsidRPr="000F1FC1">
        <w:rPr>
          <w:rFonts w:ascii="Book Antiqua" w:hAnsi="Book Antiqua"/>
          <w:sz w:val="22"/>
          <w:szCs w:val="22"/>
          <w:lang w:val="en-ID"/>
        </w:rPr>
        <w:t xml:space="preserve">The Unitary State of the Republic of Indonesia (NKRI) upholds its national ideals as stipulated in the second paragraph of the Preamble to the 1945 Constitution, namely the independence of a united, sovereign, just, and prosperous Indonesian people. Furthermore, the fourth paragraph affirms Indonesia’s national objectives: </w:t>
      </w:r>
      <w:r w:rsidRPr="000F1FC1">
        <w:rPr>
          <w:rFonts w:ascii="Book Antiqua" w:hAnsi="Book Antiqua"/>
          <w:i/>
          <w:iCs/>
          <w:sz w:val="22"/>
          <w:szCs w:val="22"/>
          <w:lang w:val="en-ID"/>
        </w:rPr>
        <w:t>“…to establish an Indonesian Government that shall protect the whole nation of Indonesia and all the blood spilled of Indonesia, and to advance general welfare, to educate the life of the nation, and to participate in establishing a world order based on freedom, lasting peace, and social justice…”</w:t>
      </w:r>
      <w:r w:rsidRPr="000F1FC1">
        <w:rPr>
          <w:rFonts w:ascii="Book Antiqua" w:hAnsi="Book Antiqua"/>
          <w:sz w:val="22"/>
          <w:szCs w:val="22"/>
          <w:lang w:val="en-ID"/>
        </w:rPr>
        <w:t xml:space="preserve"> (Hamidi &amp; Lutfi, 2010). This constitutional formulation reflects the state’s obligation to provide comprehensive protection for the nation while simultaneously playing an active role in maintaining global order (Darmono, 2010; Asshiddiqie, 2005).</w:t>
      </w:r>
    </w:p>
    <w:p w14:paraId="5E8DF69A" w14:textId="77777777" w:rsidR="000F1FC1" w:rsidRPr="000F1FC1" w:rsidRDefault="000F1FC1" w:rsidP="000F1FC1">
      <w:pPr>
        <w:pStyle w:val="Default"/>
        <w:ind w:firstLine="567"/>
        <w:jc w:val="both"/>
        <w:rPr>
          <w:rFonts w:ascii="Book Antiqua" w:hAnsi="Book Antiqua"/>
          <w:sz w:val="22"/>
          <w:szCs w:val="22"/>
          <w:lang w:val="en-ID"/>
        </w:rPr>
      </w:pPr>
      <w:r w:rsidRPr="000F1FC1">
        <w:rPr>
          <w:rFonts w:ascii="Book Antiqua" w:hAnsi="Book Antiqua"/>
          <w:sz w:val="22"/>
          <w:szCs w:val="22"/>
          <w:lang w:val="en-ID"/>
        </w:rPr>
        <w:t>Even before the United Nations formulated the concept of security, the founders of Indonesia had emphasized the significance of national security. This concept encompassed: (i) the security of citizens from the threat of war; (ii) societal security through the realization of welfare; (iii) individual security in accessing health, education, and employment; and (iv) security in contributing to the maintenance of global peace (Muladi, 2004; Perwita, 2004). However, along with the dynamics of globalization, democratization, and the emergence of non-state actors, the concept has undergone a transformation—from being solely military defense-oriented to becoming multidimensional security (Buzan, 1991; Buzan, Wæver &amp; de Wilde, 1998).</w:t>
      </w:r>
    </w:p>
    <w:p w14:paraId="073A68B6" w14:textId="77777777" w:rsidR="000F1FC1" w:rsidRPr="000F1FC1" w:rsidRDefault="000F1FC1" w:rsidP="000F1FC1">
      <w:pPr>
        <w:pStyle w:val="Default"/>
        <w:ind w:firstLine="567"/>
        <w:jc w:val="both"/>
        <w:rPr>
          <w:rFonts w:ascii="Book Antiqua" w:hAnsi="Book Antiqua"/>
          <w:sz w:val="22"/>
          <w:szCs w:val="22"/>
          <w:lang w:val="en-ID"/>
        </w:rPr>
      </w:pPr>
      <w:r w:rsidRPr="000F1FC1">
        <w:rPr>
          <w:rFonts w:ascii="Book Antiqua" w:hAnsi="Book Antiqua"/>
          <w:sz w:val="22"/>
          <w:szCs w:val="22"/>
          <w:lang w:val="en-ID"/>
        </w:rPr>
        <w:t>National security is understood as the condition in which the state, society, and citizens are free from both external and internal threats (Nugroho, 2014). This concept is not static but constitutes a governmental function that must be realized, namely the protection of the entire nation, state, and citizenry. Hence, national security is a constitutional mandate that must be implemented by the state (Darmono, 2010).</w:t>
      </w:r>
    </w:p>
    <w:p w14:paraId="66CFBDC5" w14:textId="77777777" w:rsidR="000F1FC1" w:rsidRPr="000F1FC1" w:rsidRDefault="000F1FC1" w:rsidP="000F1FC1">
      <w:pPr>
        <w:pStyle w:val="Default"/>
        <w:ind w:firstLine="567"/>
        <w:jc w:val="both"/>
        <w:rPr>
          <w:rFonts w:ascii="Book Antiqua" w:hAnsi="Book Antiqua"/>
          <w:sz w:val="22"/>
          <w:szCs w:val="22"/>
          <w:lang w:val="en-ID"/>
        </w:rPr>
      </w:pPr>
      <w:r w:rsidRPr="000F1FC1">
        <w:rPr>
          <w:rFonts w:ascii="Book Antiqua" w:hAnsi="Book Antiqua"/>
          <w:sz w:val="22"/>
          <w:szCs w:val="22"/>
          <w:lang w:val="en-ID"/>
        </w:rPr>
        <w:t>Within this framework, state intelligence emerges as a crucial instrument. Intelligence serves as the first line of the national security system, providing accurate information as the basis for strategic decision-making and preventing unexpected events that could threaten national security (Bhakti, 2005; Lowenthal, 2009). Law No. 17 of 2011 defines intelligence as knowledge, organization, and activities related to policy formulation and decision-making through detection and early warning for the prevention, deterrence, and mitigation of threats (State Gazette No. 105/2011).</w:t>
      </w:r>
    </w:p>
    <w:p w14:paraId="4AB01C7C" w14:textId="77777777" w:rsidR="000F1FC1" w:rsidRPr="000F1FC1" w:rsidRDefault="000F1FC1" w:rsidP="000F1FC1">
      <w:pPr>
        <w:pStyle w:val="Default"/>
        <w:ind w:firstLine="567"/>
        <w:jc w:val="both"/>
        <w:rPr>
          <w:rFonts w:ascii="Book Antiqua" w:hAnsi="Book Antiqua"/>
          <w:sz w:val="22"/>
          <w:szCs w:val="22"/>
          <w:lang w:val="en-ID"/>
        </w:rPr>
      </w:pPr>
      <w:r w:rsidRPr="000F1FC1">
        <w:rPr>
          <w:rFonts w:ascii="Book Antiqua" w:hAnsi="Book Antiqua"/>
          <w:sz w:val="22"/>
          <w:szCs w:val="22"/>
          <w:lang w:val="en-ID"/>
        </w:rPr>
        <w:t>Intelligence carries three essential meanings: as knowledge, as activity, and as organization. Its outputs include detection and early warning, while its activities cover information gathering, analysis, counterintelligence, and covert operations (Widjajanto, Lay &amp; Keliat, 2006). According to Shulsky and Schmitt, intelligence forms part of the national security system, an early warning system, information management, and strategic analysis to prevent strategic surprise (Schmitt, 2002).</w:t>
      </w:r>
    </w:p>
    <w:p w14:paraId="6141ACCB" w14:textId="77777777" w:rsidR="000F1FC1" w:rsidRPr="000F1FC1" w:rsidRDefault="000F1FC1" w:rsidP="000F1FC1">
      <w:pPr>
        <w:pStyle w:val="Default"/>
        <w:ind w:firstLine="567"/>
        <w:jc w:val="both"/>
        <w:rPr>
          <w:rFonts w:ascii="Book Antiqua" w:hAnsi="Book Antiqua"/>
          <w:sz w:val="22"/>
          <w:szCs w:val="22"/>
          <w:lang w:val="en-ID"/>
        </w:rPr>
      </w:pPr>
      <w:r w:rsidRPr="000F1FC1">
        <w:rPr>
          <w:rFonts w:ascii="Book Antiqua" w:hAnsi="Book Antiqua"/>
          <w:sz w:val="22"/>
          <w:szCs w:val="22"/>
          <w:lang w:val="en-ID"/>
        </w:rPr>
        <w:t>The characteristics of intelligence are flexible, encompassing both domestic and foreign domains, distinguishing it from the military (TNI) and the police (Polri) (Widjajanto, 2006). Lowenthal (2009) underscores three urgencies of intelligence: preventing strategic surprises, supporting national policies with swift and precise reporting (</w:t>
      </w:r>
      <w:r w:rsidRPr="000F1FC1">
        <w:rPr>
          <w:rFonts w:ascii="Book Antiqua" w:hAnsi="Book Antiqua"/>
          <w:i/>
          <w:iCs/>
          <w:sz w:val="22"/>
          <w:szCs w:val="22"/>
          <w:lang w:val="en-ID"/>
        </w:rPr>
        <w:t>velox et exactus</w:t>
      </w:r>
      <w:r w:rsidRPr="000F1FC1">
        <w:rPr>
          <w:rFonts w:ascii="Book Antiqua" w:hAnsi="Book Antiqua"/>
          <w:sz w:val="22"/>
          <w:szCs w:val="22"/>
          <w:lang w:val="en-ID"/>
        </w:rPr>
        <w:t>), and safeguarding national secrecy. Thus, intelligence professionalism is imperative to anticipate threats and provide strategic inputs to the President (Bahtiar et al., 2021).</w:t>
      </w:r>
    </w:p>
    <w:p w14:paraId="2F8EC93B" w14:textId="77777777" w:rsidR="000F1FC1" w:rsidRPr="000F1FC1" w:rsidRDefault="000F1FC1" w:rsidP="000F1FC1">
      <w:pPr>
        <w:pStyle w:val="Default"/>
        <w:ind w:firstLine="567"/>
        <w:jc w:val="both"/>
        <w:rPr>
          <w:rFonts w:ascii="Book Antiqua" w:hAnsi="Book Antiqua"/>
          <w:sz w:val="22"/>
          <w:szCs w:val="22"/>
          <w:lang w:val="en-ID"/>
        </w:rPr>
      </w:pPr>
      <w:r w:rsidRPr="000F1FC1">
        <w:rPr>
          <w:rFonts w:ascii="Book Antiqua" w:hAnsi="Book Antiqua"/>
          <w:sz w:val="22"/>
          <w:szCs w:val="22"/>
          <w:lang w:val="en-ID"/>
        </w:rPr>
        <w:t xml:space="preserve">Nevertheless, the principle of secrecy in intelligence often becomes problematic. While secrecy is necessary for operational effectiveness, democratic principles demand transparency and accountability (Law No. 14/2008; Law No. 43/2009). To prevent abuse of power, each </w:t>
      </w:r>
      <w:r w:rsidRPr="000F1FC1">
        <w:rPr>
          <w:rFonts w:ascii="Book Antiqua" w:hAnsi="Book Antiqua"/>
          <w:sz w:val="22"/>
          <w:szCs w:val="22"/>
          <w:lang w:val="en-ID"/>
        </w:rPr>
        <w:lastRenderedPageBreak/>
        <w:t>intelligence body must have clear and specific functions as well as oversight mechanisms (Asshiddiqie, 2005).</w:t>
      </w:r>
    </w:p>
    <w:p w14:paraId="13CA9BFA" w14:textId="77777777" w:rsidR="000F1FC1" w:rsidRPr="000F1FC1" w:rsidRDefault="000F1FC1" w:rsidP="000F1FC1">
      <w:pPr>
        <w:pStyle w:val="Default"/>
        <w:ind w:firstLine="567"/>
        <w:jc w:val="both"/>
        <w:rPr>
          <w:rFonts w:ascii="Book Antiqua" w:hAnsi="Book Antiqua"/>
          <w:sz w:val="22"/>
          <w:szCs w:val="22"/>
          <w:lang w:val="en-ID"/>
        </w:rPr>
      </w:pPr>
      <w:r w:rsidRPr="000F1FC1">
        <w:rPr>
          <w:rFonts w:ascii="Book Antiqua" w:hAnsi="Book Antiqua"/>
          <w:sz w:val="22"/>
          <w:szCs w:val="22"/>
          <w:lang w:val="en-ID"/>
        </w:rPr>
        <w:t>Article 1 paragraph (3) of the 1945 Constitution states that Indonesia is a state based on law, which means all state actions must be grounded in law. Accordingly, intelligence authority must be explicitly regulated to avoid abuse (Hadjon, 2007). The principle of compartmentalization in intelligence is necessary to prevent overlapping authority and to ensure mechanisms of information verification (</w:t>
      </w:r>
      <w:r w:rsidRPr="000F1FC1">
        <w:rPr>
          <w:rFonts w:ascii="Book Antiqua" w:hAnsi="Book Antiqua"/>
          <w:i/>
          <w:iCs/>
          <w:sz w:val="22"/>
          <w:szCs w:val="22"/>
          <w:lang w:val="en-ID"/>
        </w:rPr>
        <w:t>check and recheck</w:t>
      </w:r>
      <w:r w:rsidRPr="000F1FC1">
        <w:rPr>
          <w:rFonts w:ascii="Book Antiqua" w:hAnsi="Book Antiqua"/>
          <w:sz w:val="22"/>
          <w:szCs w:val="22"/>
          <w:lang w:val="en-ID"/>
        </w:rPr>
        <w:t>) (Law No. 17/2011).</w:t>
      </w:r>
    </w:p>
    <w:p w14:paraId="5ECE7A7E" w14:textId="77777777" w:rsidR="000F1FC1" w:rsidRPr="000F1FC1" w:rsidRDefault="000F1FC1" w:rsidP="000F1FC1">
      <w:pPr>
        <w:pStyle w:val="Default"/>
        <w:ind w:firstLine="567"/>
        <w:jc w:val="both"/>
        <w:rPr>
          <w:rFonts w:ascii="Book Antiqua" w:hAnsi="Book Antiqua"/>
          <w:sz w:val="22"/>
          <w:szCs w:val="22"/>
          <w:lang w:val="en-ID"/>
        </w:rPr>
      </w:pPr>
      <w:r w:rsidRPr="000F1FC1">
        <w:rPr>
          <w:rFonts w:ascii="Book Antiqua" w:hAnsi="Book Antiqua"/>
          <w:sz w:val="22"/>
          <w:szCs w:val="22"/>
          <w:lang w:val="en-ID"/>
        </w:rPr>
        <w:t>Following the 1998 Reform, Indonesian intelligence also underwent reforms towards becoming a professional, democratic, and accountable institution (Widjajanto &amp; Wardhani, 2008). However, despite Law No. 17 of 2011 regulating BIN’s duties and authorities, the urgency of intelligence authority as the first line of national security has not yet been reinforced with a National Security Law. This creates a legal vacuum concerning the principle of legality in intelligence authority (Nugroho, 2014).</w:t>
      </w:r>
    </w:p>
    <w:p w14:paraId="323E2837" w14:textId="77777777" w:rsidR="000F1FC1" w:rsidRPr="000F1FC1" w:rsidRDefault="000F1FC1" w:rsidP="000F1FC1">
      <w:pPr>
        <w:pStyle w:val="Default"/>
        <w:ind w:firstLine="567"/>
        <w:jc w:val="both"/>
        <w:rPr>
          <w:rFonts w:ascii="Book Antiqua" w:hAnsi="Book Antiqua"/>
          <w:sz w:val="22"/>
          <w:szCs w:val="22"/>
          <w:lang w:val="en-ID"/>
        </w:rPr>
      </w:pPr>
      <w:r w:rsidRPr="000F1FC1">
        <w:rPr>
          <w:rFonts w:ascii="Book Antiqua" w:hAnsi="Book Antiqua"/>
          <w:sz w:val="22"/>
          <w:szCs w:val="22"/>
          <w:lang w:val="en-ID"/>
        </w:rPr>
        <w:t>Currently, BIN faces internal challenges such as limited resources, institutional orientation, and technological development, as well as external challenges including the complexity of global threats, competition among intelligence agencies, and balancing secrecy with transparency (Bahtiar et al., 2021). Additionally, the absence of an independent supervisory body beyond the DPR raises accountability concerns (Djafar, 2012).</w:t>
      </w:r>
    </w:p>
    <w:p w14:paraId="159983CD" w14:textId="77777777" w:rsidR="000F1FC1" w:rsidRPr="000F1FC1" w:rsidRDefault="000F1FC1" w:rsidP="000F1FC1">
      <w:pPr>
        <w:pStyle w:val="Default"/>
        <w:ind w:firstLine="567"/>
        <w:jc w:val="both"/>
        <w:rPr>
          <w:rFonts w:ascii="Book Antiqua" w:hAnsi="Book Antiqua"/>
          <w:sz w:val="22"/>
          <w:szCs w:val="22"/>
          <w:lang w:val="en-ID"/>
        </w:rPr>
      </w:pPr>
      <w:r w:rsidRPr="000F1FC1">
        <w:rPr>
          <w:rFonts w:ascii="Book Antiqua" w:hAnsi="Book Antiqua"/>
          <w:sz w:val="22"/>
          <w:szCs w:val="22"/>
          <w:lang w:val="en-ID"/>
        </w:rPr>
        <w:t>Sociologically, intelligence regulation also encounters resistance from civil society. Law No. 17 of 2011 was once subjected to judicial review by a coalition of NGOs before the Constitutional Court, as it was deemed ambiguous, repressive, and potentially threatening to human rights (MKRI, 2012). Such critiques stem from experiences during the New Order era, where intelligence was often used as a tool of power (Nashidik, 2005; Imparsial, 2005).</w:t>
      </w:r>
    </w:p>
    <w:p w14:paraId="3D61FD54" w14:textId="77777777" w:rsidR="000F1FC1" w:rsidRPr="000F1FC1" w:rsidRDefault="000F1FC1" w:rsidP="000F1FC1">
      <w:pPr>
        <w:pStyle w:val="Default"/>
        <w:ind w:firstLine="567"/>
        <w:jc w:val="both"/>
        <w:rPr>
          <w:rFonts w:ascii="Book Antiqua" w:hAnsi="Book Antiqua"/>
          <w:sz w:val="22"/>
          <w:szCs w:val="22"/>
          <w:lang w:val="en-ID"/>
        </w:rPr>
      </w:pPr>
      <w:r w:rsidRPr="000F1FC1">
        <w:rPr>
          <w:rFonts w:ascii="Book Antiqua" w:hAnsi="Book Antiqua"/>
          <w:sz w:val="22"/>
          <w:szCs w:val="22"/>
          <w:lang w:val="en-ID"/>
        </w:rPr>
        <w:t>Based on the above, this study is essential to analyze the authority of BIN within the framework of national security law under the Indonesian Constitution. The research problems include: (1) how BIN’s authority is regulated under constitutional national security law; (2) the legal nature of the intelligence institution within the national legal system; and (3) how to reconstruct the scope of BIN’s authority within the Constitution and its derivatives. The objective is to identify and formulate these three aspects as the foundation for reconstructing intelligence regulation in Indonesia.</w:t>
      </w:r>
    </w:p>
    <w:p w14:paraId="6EFF2745" w14:textId="50DFDC30" w:rsidR="00D55B4E" w:rsidRPr="000F1FC1" w:rsidRDefault="000F1FC1" w:rsidP="000F1FC1">
      <w:pPr>
        <w:pStyle w:val="Default"/>
        <w:ind w:firstLine="567"/>
        <w:jc w:val="both"/>
        <w:rPr>
          <w:rFonts w:ascii="Book Antiqua" w:hAnsi="Book Antiqua"/>
          <w:sz w:val="22"/>
          <w:szCs w:val="22"/>
          <w:lang w:val="en-ID"/>
        </w:rPr>
      </w:pPr>
      <w:r w:rsidRPr="000F1FC1">
        <w:rPr>
          <w:rFonts w:ascii="Book Antiqua" w:hAnsi="Book Antiqua"/>
          <w:sz w:val="22"/>
          <w:szCs w:val="22"/>
          <w:lang w:val="en-ID"/>
        </w:rPr>
        <w:t>Therefore, the urgency of this research lies in contributing to the development of a strong and democratic national security legal system capable of anticipating multidimensional threats.</w:t>
      </w:r>
    </w:p>
    <w:p w14:paraId="05270AA6" w14:textId="77777777" w:rsidR="00D55B4E" w:rsidRDefault="00D55B4E" w:rsidP="00E733F1">
      <w:pPr>
        <w:pStyle w:val="Default"/>
        <w:rPr>
          <w:rFonts w:ascii="Book Antiqua" w:hAnsi="Book Antiqua"/>
          <w:b/>
          <w:sz w:val="22"/>
          <w:szCs w:val="22"/>
        </w:rPr>
      </w:pPr>
    </w:p>
    <w:p w14:paraId="03175C9A" w14:textId="0698503D" w:rsidR="00481268" w:rsidRPr="00481268" w:rsidRDefault="00FD69E5" w:rsidP="008D6E4F">
      <w:pPr>
        <w:pStyle w:val="Default"/>
        <w:jc w:val="center"/>
        <w:rPr>
          <w:rFonts w:ascii="Book Antiqua" w:hAnsi="Book Antiqua"/>
          <w:noProof/>
        </w:rPr>
      </w:pPr>
      <w:r w:rsidRPr="00D33261">
        <w:rPr>
          <w:rFonts w:ascii="Book Antiqua" w:hAnsi="Book Antiqua"/>
          <w:b/>
          <w:sz w:val="22"/>
          <w:szCs w:val="22"/>
        </w:rPr>
        <w:t>RESEARCH METHODS</w:t>
      </w:r>
      <w:r w:rsidR="00481268" w:rsidRPr="00481268">
        <w:rPr>
          <w:rFonts w:ascii="Book Antiqua" w:hAnsi="Book Antiqua"/>
          <w:noProof/>
        </w:rPr>
        <w:t xml:space="preserve"> </w:t>
      </w:r>
    </w:p>
    <w:p w14:paraId="3E31449D" w14:textId="77777777" w:rsidR="0046034E" w:rsidRPr="0046034E" w:rsidRDefault="0046034E" w:rsidP="0046034E">
      <w:pPr>
        <w:spacing w:after="0" w:line="240" w:lineRule="auto"/>
        <w:jc w:val="both"/>
        <w:rPr>
          <w:rFonts w:ascii="Book Antiqua" w:hAnsi="Book Antiqua" w:cs="Times New Roman"/>
          <w:bCs/>
          <w:lang w:val="en-ID"/>
        </w:rPr>
      </w:pPr>
      <w:r w:rsidRPr="0046034E">
        <w:rPr>
          <w:rFonts w:ascii="Book Antiqua" w:hAnsi="Book Antiqua" w:cs="Times New Roman"/>
          <w:bCs/>
          <w:lang w:val="en-ID"/>
        </w:rPr>
        <w:t>This research constitutes normative legal research (doctrinal research), namely a study that positions law as a set of norms or rules prevailing in society, particularly written law contained in statutory regulations (Soekanto, 2008). Its focus is to examine the authority of the State Intelligence Agency (BIN) within the framework of national security law as regulated by the 1945 Constitution and related legislation.</w:t>
      </w:r>
    </w:p>
    <w:p w14:paraId="03221DB8" w14:textId="77777777" w:rsidR="0046034E" w:rsidRPr="0046034E" w:rsidRDefault="0046034E" w:rsidP="0046034E">
      <w:pPr>
        <w:spacing w:after="0" w:line="240" w:lineRule="auto"/>
        <w:ind w:firstLine="567"/>
        <w:jc w:val="both"/>
        <w:rPr>
          <w:rFonts w:ascii="Book Antiqua" w:hAnsi="Book Antiqua" w:cs="Times New Roman"/>
          <w:bCs/>
          <w:lang w:val="en-ID"/>
        </w:rPr>
      </w:pPr>
      <w:r w:rsidRPr="0046034E">
        <w:rPr>
          <w:rFonts w:ascii="Book Antiqua" w:hAnsi="Book Antiqua" w:cs="Times New Roman"/>
          <w:bCs/>
          <w:lang w:val="en-ID"/>
        </w:rPr>
        <w:t>The research is descriptive-analytical in nature, aiming to provide a detailed and comprehensive account of statutory provisions, concepts, and theories relevant to BIN’s authority, followed by an analysis to identify legal problems and propose solutions (Soemitro, 1994). Accordingly, the study not only describes legal norms but also evaluates their relevance to constitutional principles.</w:t>
      </w:r>
    </w:p>
    <w:p w14:paraId="4EDAD7C9" w14:textId="77777777" w:rsidR="0046034E" w:rsidRPr="0046034E" w:rsidRDefault="0046034E" w:rsidP="0046034E">
      <w:pPr>
        <w:spacing w:after="0" w:line="240" w:lineRule="auto"/>
        <w:ind w:firstLine="567"/>
        <w:jc w:val="both"/>
        <w:rPr>
          <w:rFonts w:ascii="Book Antiqua" w:hAnsi="Book Antiqua" w:cs="Times New Roman"/>
          <w:bCs/>
          <w:lang w:val="en-ID"/>
        </w:rPr>
      </w:pPr>
      <w:r w:rsidRPr="0046034E">
        <w:rPr>
          <w:rFonts w:ascii="Book Antiqua" w:hAnsi="Book Antiqua" w:cs="Times New Roman"/>
          <w:bCs/>
          <w:lang w:val="en-ID"/>
        </w:rPr>
        <w:t xml:space="preserve">The type of research is normative juridical with prescriptive analysis. Normative juridical research is employed to identify legal principles, doctrines, and norms relevant to intelligence authority, while the prescriptive dimension seeks to provide legal arguments concerning how </w:t>
      </w:r>
      <w:r w:rsidRPr="0046034E">
        <w:rPr>
          <w:rFonts w:ascii="Book Antiqua" w:hAnsi="Book Antiqua" w:cs="Times New Roman"/>
          <w:bCs/>
          <w:lang w:val="en-ID"/>
        </w:rPr>
        <w:lastRenderedPageBreak/>
        <w:t>BIN’s authority should be regulated in accordance with the Constitution (Hadjon, 2007; Asshiddiqie, 2005).</w:t>
      </w:r>
    </w:p>
    <w:p w14:paraId="3C951FDA" w14:textId="77777777" w:rsidR="0046034E" w:rsidRPr="0046034E" w:rsidRDefault="0046034E" w:rsidP="0046034E">
      <w:pPr>
        <w:spacing w:after="0" w:line="240" w:lineRule="auto"/>
        <w:ind w:firstLine="567"/>
        <w:jc w:val="both"/>
        <w:rPr>
          <w:rFonts w:ascii="Book Antiqua" w:hAnsi="Book Antiqua" w:cs="Times New Roman"/>
          <w:bCs/>
          <w:lang w:val="en-ID"/>
        </w:rPr>
      </w:pPr>
      <w:r w:rsidRPr="0046034E">
        <w:rPr>
          <w:rFonts w:ascii="Book Antiqua" w:hAnsi="Book Antiqua" w:cs="Times New Roman"/>
          <w:bCs/>
          <w:lang w:val="en-ID"/>
        </w:rPr>
        <w:t>This study employs several legal approaches, as summarized in Table 1.</w:t>
      </w:r>
    </w:p>
    <w:p w14:paraId="3FF3B2E8" w14:textId="44D562B5" w:rsidR="0046034E" w:rsidRPr="0046034E" w:rsidRDefault="0046034E" w:rsidP="0046034E">
      <w:pPr>
        <w:spacing w:after="0" w:line="240" w:lineRule="auto"/>
        <w:jc w:val="center"/>
        <w:rPr>
          <w:rFonts w:ascii="Book Antiqua" w:hAnsi="Book Antiqua" w:cs="Times New Roman"/>
          <w:sz w:val="20"/>
          <w:szCs w:val="20"/>
          <w:lang w:val="en-ID"/>
        </w:rPr>
      </w:pPr>
      <w:r w:rsidRPr="0046034E">
        <w:rPr>
          <w:rFonts w:ascii="Book Antiqua" w:hAnsi="Book Antiqua" w:cs="Times New Roman"/>
          <w:b/>
          <w:bCs/>
          <w:sz w:val="20"/>
          <w:szCs w:val="20"/>
          <w:lang w:val="en-ID"/>
        </w:rPr>
        <w:t xml:space="preserve">Table 1. </w:t>
      </w:r>
      <w:r>
        <w:rPr>
          <w:rFonts w:ascii="Book Antiqua" w:hAnsi="Book Antiqua" w:cs="Times New Roman"/>
          <w:sz w:val="20"/>
          <w:szCs w:val="20"/>
          <w:lang w:val="en-ID"/>
        </w:rPr>
        <w:t>A</w:t>
      </w:r>
      <w:r w:rsidRPr="0046034E">
        <w:rPr>
          <w:rFonts w:ascii="Book Antiqua" w:hAnsi="Book Antiqua" w:cs="Times New Roman"/>
          <w:sz w:val="20"/>
          <w:szCs w:val="20"/>
          <w:lang w:val="en-ID"/>
        </w:rPr>
        <w:t>pproaches in the study of national security law</w:t>
      </w:r>
    </w:p>
    <w:tbl>
      <w:tblPr>
        <w:tblW w:w="0" w:type="auto"/>
        <w:tblCellSpacing w:w="15"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337"/>
        <w:gridCol w:w="1907"/>
        <w:gridCol w:w="7206"/>
      </w:tblGrid>
      <w:tr w:rsidR="0046034E" w:rsidRPr="0046034E" w14:paraId="7F5934A2" w14:textId="77777777" w:rsidTr="0046034E">
        <w:trPr>
          <w:tblHeader/>
          <w:tblCellSpacing w:w="15" w:type="dxa"/>
        </w:trPr>
        <w:tc>
          <w:tcPr>
            <w:tcW w:w="0" w:type="auto"/>
            <w:vAlign w:val="center"/>
          </w:tcPr>
          <w:p w14:paraId="01C73173" w14:textId="6217FA8D" w:rsidR="0046034E" w:rsidRPr="0046034E" w:rsidRDefault="0046034E" w:rsidP="0046034E">
            <w:pPr>
              <w:spacing w:after="0" w:line="240" w:lineRule="auto"/>
              <w:ind w:right="-66"/>
              <w:jc w:val="center"/>
              <w:rPr>
                <w:rFonts w:ascii="Book Antiqua" w:hAnsi="Book Antiqua" w:cs="Times New Roman"/>
                <w:b/>
                <w:bCs/>
                <w:sz w:val="20"/>
                <w:szCs w:val="20"/>
                <w:lang w:val="en-ID"/>
              </w:rPr>
            </w:pPr>
            <w:r w:rsidRPr="0046034E">
              <w:rPr>
                <w:rFonts w:ascii="Book Antiqua" w:hAnsi="Book Antiqua" w:cs="Times New Roman"/>
                <w:b/>
                <w:bCs/>
                <w:sz w:val="20"/>
                <w:szCs w:val="20"/>
                <w:lang w:val="en-ID"/>
              </w:rPr>
              <w:t>No.</w:t>
            </w:r>
          </w:p>
        </w:tc>
        <w:tc>
          <w:tcPr>
            <w:tcW w:w="0" w:type="auto"/>
            <w:vAlign w:val="center"/>
          </w:tcPr>
          <w:p w14:paraId="51C0A733" w14:textId="77777777" w:rsidR="0046034E" w:rsidRPr="0046034E" w:rsidRDefault="0046034E" w:rsidP="0046034E">
            <w:pPr>
              <w:spacing w:after="0" w:line="240" w:lineRule="auto"/>
              <w:ind w:right="-66" w:firstLine="27"/>
              <w:jc w:val="center"/>
              <w:rPr>
                <w:rFonts w:ascii="Book Antiqua" w:hAnsi="Book Antiqua" w:cs="Times New Roman"/>
                <w:b/>
                <w:bCs/>
                <w:sz w:val="20"/>
                <w:szCs w:val="20"/>
                <w:lang w:val="en-ID"/>
              </w:rPr>
            </w:pPr>
            <w:r w:rsidRPr="0046034E">
              <w:rPr>
                <w:rFonts w:ascii="Book Antiqua" w:hAnsi="Book Antiqua" w:cs="Times New Roman"/>
                <w:b/>
                <w:bCs/>
                <w:sz w:val="20"/>
                <w:szCs w:val="20"/>
                <w:lang w:val="en-ID"/>
              </w:rPr>
              <w:t>Type of Approach</w:t>
            </w:r>
          </w:p>
        </w:tc>
        <w:tc>
          <w:tcPr>
            <w:tcW w:w="0" w:type="auto"/>
            <w:vAlign w:val="center"/>
          </w:tcPr>
          <w:p w14:paraId="66DB1FA0" w14:textId="77777777" w:rsidR="0046034E" w:rsidRPr="0046034E" w:rsidRDefault="0046034E" w:rsidP="0046034E">
            <w:pPr>
              <w:spacing w:after="0" w:line="240" w:lineRule="auto"/>
              <w:ind w:right="-66" w:firstLine="567"/>
              <w:jc w:val="center"/>
              <w:rPr>
                <w:rFonts w:ascii="Book Antiqua" w:hAnsi="Book Antiqua" w:cs="Times New Roman"/>
                <w:b/>
                <w:bCs/>
                <w:sz w:val="20"/>
                <w:szCs w:val="20"/>
                <w:lang w:val="en-ID"/>
              </w:rPr>
            </w:pPr>
            <w:r w:rsidRPr="0046034E">
              <w:rPr>
                <w:rFonts w:ascii="Book Antiqua" w:hAnsi="Book Antiqua" w:cs="Times New Roman"/>
                <w:b/>
                <w:bCs/>
                <w:sz w:val="20"/>
                <w:szCs w:val="20"/>
                <w:lang w:val="en-ID"/>
              </w:rPr>
              <w:t>Description</w:t>
            </w:r>
          </w:p>
        </w:tc>
      </w:tr>
      <w:tr w:rsidR="0046034E" w:rsidRPr="0046034E" w14:paraId="10076942" w14:textId="77777777" w:rsidTr="0046034E">
        <w:trPr>
          <w:tblHeader/>
          <w:tblCellSpacing w:w="15" w:type="dxa"/>
        </w:trPr>
        <w:tc>
          <w:tcPr>
            <w:tcW w:w="0" w:type="auto"/>
            <w:tcBorders>
              <w:top w:val="single" w:sz="4" w:space="0" w:color="auto"/>
              <w:bottom w:val="nil"/>
            </w:tcBorders>
            <w:vAlign w:val="center"/>
          </w:tcPr>
          <w:p w14:paraId="1C452031" w14:textId="3249C0E2" w:rsidR="0046034E" w:rsidRPr="0046034E" w:rsidRDefault="0046034E" w:rsidP="0046034E">
            <w:pPr>
              <w:spacing w:after="0" w:line="240" w:lineRule="auto"/>
              <w:ind w:right="-66"/>
              <w:jc w:val="center"/>
              <w:rPr>
                <w:rFonts w:ascii="Book Antiqua" w:hAnsi="Book Antiqua" w:cs="Times New Roman"/>
                <w:sz w:val="20"/>
                <w:szCs w:val="20"/>
                <w:lang w:val="en-ID"/>
              </w:rPr>
            </w:pPr>
            <w:r w:rsidRPr="0046034E">
              <w:rPr>
                <w:rFonts w:ascii="Book Antiqua" w:hAnsi="Book Antiqua" w:cs="Times New Roman"/>
                <w:sz w:val="20"/>
                <w:szCs w:val="20"/>
                <w:lang w:val="en-ID"/>
              </w:rPr>
              <w:t>1</w:t>
            </w:r>
          </w:p>
        </w:tc>
        <w:tc>
          <w:tcPr>
            <w:tcW w:w="0" w:type="auto"/>
            <w:tcBorders>
              <w:top w:val="single" w:sz="4" w:space="0" w:color="auto"/>
              <w:bottom w:val="nil"/>
            </w:tcBorders>
            <w:vAlign w:val="center"/>
          </w:tcPr>
          <w:p w14:paraId="22F0BCA9" w14:textId="77777777" w:rsidR="0046034E" w:rsidRPr="0046034E" w:rsidRDefault="0046034E" w:rsidP="0046034E">
            <w:pPr>
              <w:spacing w:after="0" w:line="240" w:lineRule="auto"/>
              <w:ind w:right="-66"/>
              <w:jc w:val="both"/>
              <w:rPr>
                <w:rFonts w:ascii="Book Antiqua" w:hAnsi="Book Antiqua" w:cs="Times New Roman"/>
                <w:sz w:val="20"/>
                <w:szCs w:val="20"/>
                <w:lang w:val="en-ID"/>
              </w:rPr>
            </w:pPr>
            <w:r w:rsidRPr="0046034E">
              <w:rPr>
                <w:rFonts w:ascii="Book Antiqua" w:hAnsi="Book Antiqua" w:cs="Times New Roman"/>
                <w:sz w:val="20"/>
                <w:szCs w:val="20"/>
                <w:lang w:val="en-ID"/>
              </w:rPr>
              <w:t>Statute Approach</w:t>
            </w:r>
          </w:p>
        </w:tc>
        <w:tc>
          <w:tcPr>
            <w:tcW w:w="0" w:type="auto"/>
            <w:tcBorders>
              <w:top w:val="single" w:sz="4" w:space="0" w:color="auto"/>
              <w:bottom w:val="nil"/>
            </w:tcBorders>
            <w:vAlign w:val="center"/>
          </w:tcPr>
          <w:p w14:paraId="08827677" w14:textId="77777777" w:rsidR="0046034E" w:rsidRPr="0046034E" w:rsidRDefault="0046034E" w:rsidP="0046034E">
            <w:pPr>
              <w:spacing w:after="0" w:line="240" w:lineRule="auto"/>
              <w:ind w:right="-66"/>
              <w:jc w:val="both"/>
              <w:rPr>
                <w:rFonts w:ascii="Book Antiqua" w:hAnsi="Book Antiqua" w:cs="Times New Roman"/>
                <w:sz w:val="20"/>
                <w:szCs w:val="20"/>
                <w:lang w:val="en-ID"/>
              </w:rPr>
            </w:pPr>
            <w:r w:rsidRPr="0046034E">
              <w:rPr>
                <w:rFonts w:ascii="Book Antiqua" w:hAnsi="Book Antiqua" w:cs="Times New Roman"/>
                <w:sz w:val="20"/>
                <w:szCs w:val="20"/>
                <w:lang w:val="en-ID"/>
              </w:rPr>
              <w:t>Examining the 1945 Constitution, Law No. 17 of 2011 on State Intelligence, and related regulations</w:t>
            </w:r>
          </w:p>
        </w:tc>
      </w:tr>
      <w:tr w:rsidR="0046034E" w:rsidRPr="0046034E" w14:paraId="3B2E9604" w14:textId="77777777" w:rsidTr="0046034E">
        <w:trPr>
          <w:tblHeader/>
          <w:tblCellSpacing w:w="15" w:type="dxa"/>
        </w:trPr>
        <w:tc>
          <w:tcPr>
            <w:tcW w:w="0" w:type="auto"/>
            <w:vAlign w:val="center"/>
          </w:tcPr>
          <w:p w14:paraId="075DBB08" w14:textId="527971DF" w:rsidR="0046034E" w:rsidRPr="0046034E" w:rsidRDefault="0046034E" w:rsidP="0046034E">
            <w:pPr>
              <w:spacing w:after="0" w:line="240" w:lineRule="auto"/>
              <w:ind w:right="-66"/>
              <w:jc w:val="center"/>
              <w:rPr>
                <w:rFonts w:ascii="Book Antiqua" w:hAnsi="Book Antiqua" w:cs="Times New Roman"/>
                <w:sz w:val="20"/>
                <w:szCs w:val="20"/>
                <w:lang w:val="en-ID"/>
              </w:rPr>
            </w:pPr>
            <w:r w:rsidRPr="0046034E">
              <w:rPr>
                <w:rFonts w:ascii="Book Antiqua" w:hAnsi="Book Antiqua" w:cs="Times New Roman"/>
                <w:sz w:val="20"/>
                <w:szCs w:val="20"/>
                <w:lang w:val="en-ID"/>
              </w:rPr>
              <w:t>2</w:t>
            </w:r>
          </w:p>
        </w:tc>
        <w:tc>
          <w:tcPr>
            <w:tcW w:w="0" w:type="auto"/>
            <w:vAlign w:val="center"/>
          </w:tcPr>
          <w:p w14:paraId="31DCE245" w14:textId="77777777" w:rsidR="0046034E" w:rsidRPr="0046034E" w:rsidRDefault="0046034E" w:rsidP="0046034E">
            <w:pPr>
              <w:spacing w:after="0" w:line="240" w:lineRule="auto"/>
              <w:ind w:right="-66"/>
              <w:jc w:val="both"/>
              <w:rPr>
                <w:rFonts w:ascii="Book Antiqua" w:hAnsi="Book Antiqua" w:cs="Times New Roman"/>
                <w:sz w:val="20"/>
                <w:szCs w:val="20"/>
                <w:lang w:val="en-ID"/>
              </w:rPr>
            </w:pPr>
            <w:r w:rsidRPr="0046034E">
              <w:rPr>
                <w:rFonts w:ascii="Book Antiqua" w:hAnsi="Book Antiqua" w:cs="Times New Roman"/>
                <w:sz w:val="20"/>
                <w:szCs w:val="20"/>
                <w:lang w:val="en-ID"/>
              </w:rPr>
              <w:t>Conceptual Approach</w:t>
            </w:r>
          </w:p>
        </w:tc>
        <w:tc>
          <w:tcPr>
            <w:tcW w:w="0" w:type="auto"/>
            <w:vAlign w:val="center"/>
          </w:tcPr>
          <w:p w14:paraId="01E14C09" w14:textId="77777777" w:rsidR="0046034E" w:rsidRPr="0046034E" w:rsidRDefault="0046034E" w:rsidP="0046034E">
            <w:pPr>
              <w:spacing w:after="0" w:line="240" w:lineRule="auto"/>
              <w:ind w:right="-66"/>
              <w:jc w:val="both"/>
              <w:rPr>
                <w:rFonts w:ascii="Book Antiqua" w:hAnsi="Book Antiqua" w:cs="Times New Roman"/>
                <w:sz w:val="20"/>
                <w:szCs w:val="20"/>
                <w:lang w:val="en-ID"/>
              </w:rPr>
            </w:pPr>
            <w:r w:rsidRPr="0046034E">
              <w:rPr>
                <w:rFonts w:ascii="Book Antiqua" w:hAnsi="Book Antiqua" w:cs="Times New Roman"/>
                <w:sz w:val="20"/>
                <w:szCs w:val="20"/>
                <w:lang w:val="en-ID"/>
              </w:rPr>
              <w:t>Employing concepts of national security, theories of authority, and the principle of the rule of law</w:t>
            </w:r>
          </w:p>
        </w:tc>
      </w:tr>
      <w:tr w:rsidR="0046034E" w:rsidRPr="0046034E" w14:paraId="5C0F95D1" w14:textId="77777777" w:rsidTr="0046034E">
        <w:trPr>
          <w:tblHeader/>
          <w:tblCellSpacing w:w="15" w:type="dxa"/>
        </w:trPr>
        <w:tc>
          <w:tcPr>
            <w:tcW w:w="0" w:type="auto"/>
            <w:vAlign w:val="center"/>
          </w:tcPr>
          <w:p w14:paraId="053DD965" w14:textId="181254B3" w:rsidR="0046034E" w:rsidRPr="0046034E" w:rsidRDefault="0046034E" w:rsidP="0046034E">
            <w:pPr>
              <w:spacing w:after="0" w:line="240" w:lineRule="auto"/>
              <w:ind w:right="-66"/>
              <w:jc w:val="center"/>
              <w:rPr>
                <w:rFonts w:ascii="Book Antiqua" w:hAnsi="Book Antiqua" w:cs="Times New Roman"/>
                <w:sz w:val="20"/>
                <w:szCs w:val="20"/>
                <w:lang w:val="en-ID"/>
              </w:rPr>
            </w:pPr>
            <w:r w:rsidRPr="0046034E">
              <w:rPr>
                <w:rFonts w:ascii="Book Antiqua" w:hAnsi="Book Antiqua" w:cs="Times New Roman"/>
                <w:sz w:val="20"/>
                <w:szCs w:val="20"/>
                <w:lang w:val="en-ID"/>
              </w:rPr>
              <w:t>3</w:t>
            </w:r>
          </w:p>
        </w:tc>
        <w:tc>
          <w:tcPr>
            <w:tcW w:w="0" w:type="auto"/>
            <w:vAlign w:val="center"/>
          </w:tcPr>
          <w:p w14:paraId="30C9BC2D" w14:textId="77777777" w:rsidR="0046034E" w:rsidRPr="0046034E" w:rsidRDefault="0046034E" w:rsidP="0046034E">
            <w:pPr>
              <w:spacing w:after="0" w:line="240" w:lineRule="auto"/>
              <w:ind w:right="-66"/>
              <w:jc w:val="both"/>
              <w:rPr>
                <w:rFonts w:ascii="Book Antiqua" w:hAnsi="Book Antiqua" w:cs="Times New Roman"/>
                <w:sz w:val="20"/>
                <w:szCs w:val="20"/>
                <w:lang w:val="en-ID"/>
              </w:rPr>
            </w:pPr>
            <w:r w:rsidRPr="0046034E">
              <w:rPr>
                <w:rFonts w:ascii="Book Antiqua" w:hAnsi="Book Antiqua" w:cs="Times New Roman"/>
                <w:sz w:val="20"/>
                <w:szCs w:val="20"/>
                <w:lang w:val="en-ID"/>
              </w:rPr>
              <w:t>Historical Approach</w:t>
            </w:r>
          </w:p>
        </w:tc>
        <w:tc>
          <w:tcPr>
            <w:tcW w:w="0" w:type="auto"/>
            <w:vAlign w:val="center"/>
          </w:tcPr>
          <w:p w14:paraId="4644E4F0" w14:textId="77777777" w:rsidR="0046034E" w:rsidRPr="0046034E" w:rsidRDefault="0046034E" w:rsidP="0046034E">
            <w:pPr>
              <w:spacing w:after="0" w:line="240" w:lineRule="auto"/>
              <w:ind w:right="-66"/>
              <w:jc w:val="both"/>
              <w:rPr>
                <w:rFonts w:ascii="Book Antiqua" w:hAnsi="Book Antiqua" w:cs="Times New Roman"/>
                <w:sz w:val="20"/>
                <w:szCs w:val="20"/>
                <w:lang w:val="en-ID"/>
              </w:rPr>
            </w:pPr>
            <w:r w:rsidRPr="0046034E">
              <w:rPr>
                <w:rFonts w:ascii="Book Antiqua" w:hAnsi="Book Antiqua" w:cs="Times New Roman"/>
                <w:sz w:val="20"/>
                <w:szCs w:val="20"/>
                <w:lang w:val="en-ID"/>
              </w:rPr>
              <w:t>Tracing the development of BIN’s authority from the colonial era to the post-reform period</w:t>
            </w:r>
          </w:p>
        </w:tc>
      </w:tr>
      <w:tr w:rsidR="0046034E" w:rsidRPr="0046034E" w14:paraId="1F551295" w14:textId="77777777" w:rsidTr="0046034E">
        <w:trPr>
          <w:tblHeader/>
          <w:tblCellSpacing w:w="15" w:type="dxa"/>
        </w:trPr>
        <w:tc>
          <w:tcPr>
            <w:tcW w:w="0" w:type="auto"/>
            <w:vAlign w:val="center"/>
          </w:tcPr>
          <w:p w14:paraId="5CF34977" w14:textId="124824F5" w:rsidR="0046034E" w:rsidRPr="0046034E" w:rsidRDefault="0046034E" w:rsidP="0046034E">
            <w:pPr>
              <w:spacing w:after="0" w:line="240" w:lineRule="auto"/>
              <w:ind w:right="-66"/>
              <w:jc w:val="center"/>
              <w:rPr>
                <w:rFonts w:ascii="Book Antiqua" w:hAnsi="Book Antiqua" w:cs="Times New Roman"/>
                <w:sz w:val="20"/>
                <w:szCs w:val="20"/>
                <w:lang w:val="en-ID"/>
              </w:rPr>
            </w:pPr>
            <w:r w:rsidRPr="0046034E">
              <w:rPr>
                <w:rFonts w:ascii="Book Antiqua" w:hAnsi="Book Antiqua" w:cs="Times New Roman"/>
                <w:sz w:val="20"/>
                <w:szCs w:val="20"/>
                <w:lang w:val="en-ID"/>
              </w:rPr>
              <w:t>4</w:t>
            </w:r>
          </w:p>
        </w:tc>
        <w:tc>
          <w:tcPr>
            <w:tcW w:w="0" w:type="auto"/>
            <w:vAlign w:val="center"/>
          </w:tcPr>
          <w:p w14:paraId="7C565290" w14:textId="77777777" w:rsidR="0046034E" w:rsidRPr="0046034E" w:rsidRDefault="0046034E" w:rsidP="0046034E">
            <w:pPr>
              <w:spacing w:after="0" w:line="240" w:lineRule="auto"/>
              <w:ind w:right="-66"/>
              <w:jc w:val="both"/>
              <w:rPr>
                <w:rFonts w:ascii="Book Antiqua" w:hAnsi="Book Antiqua" w:cs="Times New Roman"/>
                <w:sz w:val="20"/>
                <w:szCs w:val="20"/>
                <w:lang w:val="en-ID"/>
              </w:rPr>
            </w:pPr>
            <w:r w:rsidRPr="0046034E">
              <w:rPr>
                <w:rFonts w:ascii="Book Antiqua" w:hAnsi="Book Antiqua" w:cs="Times New Roman"/>
                <w:sz w:val="20"/>
                <w:szCs w:val="20"/>
                <w:lang w:val="en-ID"/>
              </w:rPr>
              <w:t>Comparative Approach</w:t>
            </w:r>
          </w:p>
        </w:tc>
        <w:tc>
          <w:tcPr>
            <w:tcW w:w="0" w:type="auto"/>
            <w:vAlign w:val="center"/>
          </w:tcPr>
          <w:p w14:paraId="16AA5394" w14:textId="77777777" w:rsidR="0046034E" w:rsidRPr="0046034E" w:rsidRDefault="0046034E" w:rsidP="0046034E">
            <w:pPr>
              <w:spacing w:after="0" w:line="240" w:lineRule="auto"/>
              <w:ind w:right="-66"/>
              <w:jc w:val="both"/>
              <w:rPr>
                <w:rFonts w:ascii="Book Antiqua" w:hAnsi="Book Antiqua" w:cs="Times New Roman"/>
                <w:sz w:val="20"/>
                <w:szCs w:val="20"/>
                <w:lang w:val="en-ID"/>
              </w:rPr>
            </w:pPr>
            <w:r w:rsidRPr="0046034E">
              <w:rPr>
                <w:rFonts w:ascii="Book Antiqua" w:hAnsi="Book Antiqua" w:cs="Times New Roman"/>
                <w:sz w:val="20"/>
                <w:szCs w:val="20"/>
                <w:lang w:val="en-ID"/>
              </w:rPr>
              <w:t>Comparing the regulation of intelligence authority in several democratic countries</w:t>
            </w:r>
          </w:p>
        </w:tc>
      </w:tr>
    </w:tbl>
    <w:p w14:paraId="37D866EA" w14:textId="77777777" w:rsidR="0046034E" w:rsidRDefault="0046034E" w:rsidP="0046034E">
      <w:pPr>
        <w:spacing w:after="0" w:line="240" w:lineRule="auto"/>
        <w:ind w:firstLine="567"/>
        <w:jc w:val="both"/>
        <w:rPr>
          <w:rFonts w:ascii="Book Antiqua" w:hAnsi="Book Antiqua" w:cs="Times New Roman"/>
          <w:bCs/>
          <w:lang w:val="en-ID"/>
        </w:rPr>
      </w:pPr>
    </w:p>
    <w:p w14:paraId="7F2A693E" w14:textId="769B1DF0" w:rsidR="0046034E" w:rsidRPr="0046034E" w:rsidRDefault="0046034E" w:rsidP="0046034E">
      <w:pPr>
        <w:spacing w:after="0" w:line="240" w:lineRule="auto"/>
        <w:ind w:firstLine="567"/>
        <w:jc w:val="both"/>
        <w:rPr>
          <w:rFonts w:ascii="Book Antiqua" w:hAnsi="Book Antiqua" w:cs="Times New Roman"/>
          <w:bCs/>
          <w:lang w:val="en-ID"/>
        </w:rPr>
      </w:pPr>
      <w:r w:rsidRPr="0046034E">
        <w:rPr>
          <w:rFonts w:ascii="Book Antiqua" w:hAnsi="Book Antiqua" w:cs="Times New Roman"/>
          <w:bCs/>
          <w:lang w:val="en-ID"/>
        </w:rPr>
        <w:t>The types of legal materials used consist of:</w:t>
      </w:r>
    </w:p>
    <w:p w14:paraId="19147280" w14:textId="77777777" w:rsidR="0046034E" w:rsidRPr="0046034E" w:rsidRDefault="0046034E" w:rsidP="0046034E">
      <w:pPr>
        <w:numPr>
          <w:ilvl w:val="0"/>
          <w:numId w:val="28"/>
        </w:numPr>
        <w:tabs>
          <w:tab w:val="clear" w:pos="720"/>
        </w:tabs>
        <w:spacing w:after="0" w:line="240" w:lineRule="auto"/>
        <w:ind w:left="284" w:hanging="284"/>
        <w:jc w:val="both"/>
        <w:rPr>
          <w:rFonts w:ascii="Book Antiqua" w:hAnsi="Book Antiqua" w:cs="Times New Roman"/>
          <w:lang w:val="en-ID"/>
        </w:rPr>
      </w:pPr>
      <w:r w:rsidRPr="0046034E">
        <w:rPr>
          <w:rFonts w:ascii="Book Antiqua" w:hAnsi="Book Antiqua" w:cs="Times New Roman"/>
          <w:lang w:val="en-ID"/>
        </w:rPr>
        <w:t>Primary legal materials, including the 1945 Constitution, Law No. 17 of 2011, Law No. 14 of 2008, Law No. 43 of 2009, the Information and Electronic Transactions Law, and Constitutional Court decisions related to intelligence.</w:t>
      </w:r>
    </w:p>
    <w:p w14:paraId="40795F75" w14:textId="77777777" w:rsidR="0046034E" w:rsidRPr="0046034E" w:rsidRDefault="0046034E" w:rsidP="0046034E">
      <w:pPr>
        <w:numPr>
          <w:ilvl w:val="0"/>
          <w:numId w:val="28"/>
        </w:numPr>
        <w:tabs>
          <w:tab w:val="clear" w:pos="720"/>
        </w:tabs>
        <w:spacing w:after="0" w:line="240" w:lineRule="auto"/>
        <w:ind w:left="284" w:hanging="284"/>
        <w:jc w:val="both"/>
        <w:rPr>
          <w:rFonts w:ascii="Book Antiqua" w:hAnsi="Book Antiqua" w:cs="Times New Roman"/>
          <w:lang w:val="en-ID"/>
        </w:rPr>
      </w:pPr>
      <w:r w:rsidRPr="0046034E">
        <w:rPr>
          <w:rFonts w:ascii="Book Antiqua" w:hAnsi="Book Antiqua" w:cs="Times New Roman"/>
          <w:lang w:val="en-ID"/>
        </w:rPr>
        <w:t>Secondary legal materials, such as legal textbooks, journals, research findings, and expert opinions on intelligence, state authority, and constitutional law.</w:t>
      </w:r>
    </w:p>
    <w:p w14:paraId="0B4FE5DF" w14:textId="77777777" w:rsidR="0046034E" w:rsidRPr="0046034E" w:rsidRDefault="0046034E" w:rsidP="0046034E">
      <w:pPr>
        <w:numPr>
          <w:ilvl w:val="0"/>
          <w:numId w:val="28"/>
        </w:numPr>
        <w:tabs>
          <w:tab w:val="clear" w:pos="720"/>
        </w:tabs>
        <w:spacing w:after="0" w:line="240" w:lineRule="auto"/>
        <w:ind w:left="284" w:hanging="284"/>
        <w:jc w:val="both"/>
        <w:rPr>
          <w:rFonts w:ascii="Book Antiqua" w:hAnsi="Book Antiqua" w:cs="Times New Roman"/>
          <w:lang w:val="en-ID"/>
        </w:rPr>
      </w:pPr>
      <w:r w:rsidRPr="0046034E">
        <w:rPr>
          <w:rFonts w:ascii="Book Antiqua" w:hAnsi="Book Antiqua" w:cs="Times New Roman"/>
          <w:lang w:val="en-ID"/>
        </w:rPr>
        <w:t>Tertiary legal materials, including legal dictionaries, encyclopedias, legal media articles, and official online sources.</w:t>
      </w:r>
    </w:p>
    <w:p w14:paraId="4EB56C6F" w14:textId="77777777" w:rsidR="0046034E" w:rsidRDefault="0046034E" w:rsidP="0046034E">
      <w:pPr>
        <w:spacing w:after="0" w:line="240" w:lineRule="auto"/>
        <w:ind w:firstLine="567"/>
        <w:jc w:val="both"/>
        <w:rPr>
          <w:rFonts w:ascii="Book Antiqua" w:hAnsi="Book Antiqua" w:cs="Times New Roman"/>
          <w:bCs/>
          <w:lang w:val="en-ID"/>
        </w:rPr>
      </w:pPr>
    </w:p>
    <w:p w14:paraId="133251BD" w14:textId="03F0FA0D" w:rsidR="0046034E" w:rsidRPr="0046034E" w:rsidRDefault="0046034E" w:rsidP="0046034E">
      <w:pPr>
        <w:spacing w:after="0" w:line="240" w:lineRule="auto"/>
        <w:ind w:firstLine="567"/>
        <w:jc w:val="both"/>
        <w:rPr>
          <w:rFonts w:ascii="Book Antiqua" w:hAnsi="Book Antiqua" w:cs="Times New Roman"/>
          <w:bCs/>
          <w:lang w:val="en-ID"/>
        </w:rPr>
      </w:pPr>
      <w:r w:rsidRPr="0046034E">
        <w:rPr>
          <w:rFonts w:ascii="Book Antiqua" w:hAnsi="Book Antiqua" w:cs="Times New Roman"/>
          <w:bCs/>
          <w:lang w:val="en-ID"/>
        </w:rPr>
        <w:t>Legal materials were collected through library research, which involved inventorying statutory regulations, examining legal doctrines, and reviewing relevant previous studies (Soemitro, 1994). This technique was intended to obtain valid, systematic, and accountable legal data. The analysis was conducted using normative qualitative analysis, whereby the collected legal materials were elaborated, systematized according to the legal issues under study, and interpreted using grammatical, systematic, and historical methods of legal interpretation (Hadjon, 2007). The purpose of this analysis is to produce argumentative conclusions and provide legal prescriptions for reconstructing BIN’s authority within the framework of national security law.</w:t>
      </w:r>
    </w:p>
    <w:p w14:paraId="4E34A63D" w14:textId="4A3DC166" w:rsidR="000F5E97" w:rsidRPr="00893307" w:rsidRDefault="000F5E97" w:rsidP="00893307">
      <w:pPr>
        <w:spacing w:after="0" w:line="240" w:lineRule="auto"/>
        <w:ind w:firstLine="567"/>
        <w:jc w:val="both"/>
        <w:rPr>
          <w:rFonts w:ascii="Book Antiqua" w:hAnsi="Book Antiqua" w:cs="Times New Roman"/>
          <w:bCs/>
        </w:rPr>
      </w:pPr>
    </w:p>
    <w:p w14:paraId="6097E6C9" w14:textId="388DEEFC" w:rsidR="00FD69E5" w:rsidRPr="00AE5CEA" w:rsidRDefault="00FD69E5" w:rsidP="00FD69E5">
      <w:pPr>
        <w:pStyle w:val="Default"/>
        <w:jc w:val="center"/>
        <w:rPr>
          <w:rFonts w:ascii="Book Antiqua" w:hAnsi="Book Antiqua"/>
          <w:b/>
          <w:sz w:val="22"/>
          <w:szCs w:val="22"/>
        </w:rPr>
      </w:pPr>
      <w:r w:rsidRPr="00AE5CEA">
        <w:rPr>
          <w:rFonts w:ascii="Book Antiqua" w:hAnsi="Book Antiqua"/>
          <w:b/>
          <w:sz w:val="22"/>
          <w:szCs w:val="22"/>
        </w:rPr>
        <w:t>RESULTS AND DISCUSSION</w:t>
      </w:r>
    </w:p>
    <w:p w14:paraId="18E6D20E" w14:textId="6392152A" w:rsidR="000A54C2" w:rsidRPr="000A54C2" w:rsidRDefault="0046034E" w:rsidP="000A54C2">
      <w:pPr>
        <w:spacing w:after="0" w:line="240" w:lineRule="auto"/>
        <w:jc w:val="both"/>
        <w:rPr>
          <w:rFonts w:ascii="Book Antiqua" w:hAnsi="Book Antiqua" w:cs="Times New Roman"/>
          <w:b/>
          <w:bCs/>
          <w:lang w:val="en-ID"/>
        </w:rPr>
      </w:pPr>
      <w:r w:rsidRPr="0046034E">
        <w:rPr>
          <w:rFonts w:ascii="Book Antiqua" w:hAnsi="Book Antiqua" w:cs="Times New Roman"/>
          <w:b/>
          <w:bCs/>
        </w:rPr>
        <w:t>The Constitutional Basis of Intelligence Authority in Indonesia</w:t>
      </w:r>
    </w:p>
    <w:p w14:paraId="363502D1" w14:textId="77777777" w:rsidR="0046034E" w:rsidRPr="0046034E" w:rsidRDefault="0046034E" w:rsidP="0046034E">
      <w:pPr>
        <w:spacing w:after="0" w:line="240" w:lineRule="auto"/>
        <w:jc w:val="both"/>
        <w:rPr>
          <w:rFonts w:ascii="Book Antiqua" w:hAnsi="Book Antiqua" w:cs="Times New Roman"/>
          <w:lang w:val="en-ID"/>
        </w:rPr>
      </w:pPr>
      <w:r w:rsidRPr="0046034E">
        <w:rPr>
          <w:rFonts w:ascii="Book Antiqua" w:hAnsi="Book Antiqua" w:cs="Times New Roman"/>
          <w:lang w:val="en-ID"/>
        </w:rPr>
        <w:t>The existence of state intelligence within Indonesia’s constitutional system is rooted in the constitutional mandate requiring the state to protect the entire nation and all the people of Indonesia. This mandate is enshrined in the fourth paragraph of the Preamble to the 1945 Constitution, which explicitly positions security as one of the state’s fundamental objectives. From the perspective of constitutional law, security is not only defined as the absence of threats but also as the active function of the state in ensuring order, integrity, and national continuity (Asshiddiqie, 2005; Darmono, 2010).</w:t>
      </w:r>
    </w:p>
    <w:p w14:paraId="2AB9CA7E" w14:textId="77777777" w:rsidR="0046034E" w:rsidRPr="0046034E" w:rsidRDefault="0046034E" w:rsidP="0046034E">
      <w:pPr>
        <w:spacing w:after="0" w:line="240" w:lineRule="auto"/>
        <w:ind w:firstLine="567"/>
        <w:jc w:val="both"/>
        <w:rPr>
          <w:rFonts w:ascii="Book Antiqua" w:hAnsi="Book Antiqua" w:cs="Times New Roman"/>
          <w:lang w:val="en-ID"/>
        </w:rPr>
      </w:pPr>
      <w:r w:rsidRPr="0046034E">
        <w:rPr>
          <w:rFonts w:ascii="Book Antiqua" w:hAnsi="Book Antiqua" w:cs="Times New Roman"/>
          <w:lang w:val="en-ID"/>
        </w:rPr>
        <w:t xml:space="preserve">The Preamble to the 1945 Constitution holds a pivotal position as the source of constitutional legitimacy for all state actions, including those in the field of security. From the standpoint of constitutional theory, the fourth paragraph contains three key aspects: (1) the mandate for the state to protect the entire nation; (2) the obligation to promote general welfare; and (3) the commitment to world peace (Hamidi &amp; Lutfi, 2010; Muladi, 2004). Accordingly, </w:t>
      </w:r>
      <w:r w:rsidRPr="0046034E">
        <w:rPr>
          <w:rFonts w:ascii="Book Antiqua" w:hAnsi="Book Antiqua" w:cs="Times New Roman"/>
          <w:lang w:val="en-ID"/>
        </w:rPr>
        <w:lastRenderedPageBreak/>
        <w:t>intelligence, as one of the state’s security instruments, derives constitutional legitimacy to carry out protective and preventive functions against threats.</w:t>
      </w:r>
    </w:p>
    <w:p w14:paraId="349A10F3" w14:textId="77777777" w:rsidR="0046034E" w:rsidRPr="0046034E" w:rsidRDefault="0046034E" w:rsidP="0046034E">
      <w:pPr>
        <w:spacing w:after="0" w:line="240" w:lineRule="auto"/>
        <w:ind w:firstLine="567"/>
        <w:jc w:val="both"/>
        <w:rPr>
          <w:rFonts w:ascii="Book Antiqua" w:hAnsi="Book Antiqua" w:cs="Times New Roman"/>
          <w:lang w:val="en-ID"/>
        </w:rPr>
      </w:pPr>
      <w:r w:rsidRPr="0046034E">
        <w:rPr>
          <w:rFonts w:ascii="Book Antiqua" w:hAnsi="Book Antiqua" w:cs="Times New Roman"/>
          <w:lang w:val="en-ID"/>
        </w:rPr>
        <w:t>Article 30 of the 1945 Constitution explicitly regulates the rights and obligations of citizens in national defense and security efforts. Paragraph (1) stipulates that every citizen has the right and duty to participate in national defense and security. Paragraph (2) further provides that defense and security efforts are organized through a universal people’s defense and security system, with the military (TNI) and police (Polri) as the main forces and the people as the supporting force. However, this constitutional provision does not explicitly mention intelligence as a state institution. This implies that the existence and authority of intelligence require a derivative legal foundation in the form of legislation to ensure juridical certainty (Salim, 2009; Hadjon, 2007).</w:t>
      </w:r>
    </w:p>
    <w:p w14:paraId="15891791" w14:textId="77777777" w:rsidR="0046034E" w:rsidRPr="0046034E" w:rsidRDefault="0046034E" w:rsidP="0046034E">
      <w:pPr>
        <w:spacing w:after="0" w:line="240" w:lineRule="auto"/>
        <w:ind w:firstLine="567"/>
        <w:jc w:val="both"/>
        <w:rPr>
          <w:rFonts w:ascii="Book Antiqua" w:hAnsi="Book Antiqua" w:cs="Times New Roman"/>
          <w:lang w:val="en-ID"/>
        </w:rPr>
      </w:pPr>
      <w:r w:rsidRPr="0046034E">
        <w:rPr>
          <w:rFonts w:ascii="Book Antiqua" w:hAnsi="Book Antiqua" w:cs="Times New Roman"/>
          <w:lang w:val="en-ID"/>
        </w:rPr>
        <w:t>As a state governed by law (</w:t>
      </w:r>
      <w:r w:rsidRPr="0046034E">
        <w:rPr>
          <w:rFonts w:ascii="Book Antiqua" w:hAnsi="Book Antiqua" w:cs="Times New Roman"/>
          <w:i/>
          <w:iCs/>
          <w:lang w:val="en-ID"/>
        </w:rPr>
        <w:t>rechtsstaat</w:t>
      </w:r>
      <w:r w:rsidRPr="0046034E">
        <w:rPr>
          <w:rFonts w:ascii="Book Antiqua" w:hAnsi="Book Antiqua" w:cs="Times New Roman"/>
          <w:lang w:val="en-ID"/>
        </w:rPr>
        <w:t>), as affirmed in Article 1 paragraph (3) of the 1945 Constitution, all state actions must be based on law. Consequently, intelligence authority cannot be exercised without a clear legal foundation. The doctrine of the rule of law requires limitations on intelligence powers to align with the principles of legality and respect for human rights (Santoso, 2001; Muladi, 2004). In other words, while intelligence serves the function of safeguarding national security, its authority must remain subject to the principle of constitutional supremacy.</w:t>
      </w:r>
    </w:p>
    <w:p w14:paraId="4759CE9F" w14:textId="77777777" w:rsidR="0046034E" w:rsidRPr="0046034E" w:rsidRDefault="0046034E" w:rsidP="0046034E">
      <w:pPr>
        <w:spacing w:after="0" w:line="240" w:lineRule="auto"/>
        <w:ind w:firstLine="567"/>
        <w:jc w:val="both"/>
        <w:rPr>
          <w:rFonts w:ascii="Book Antiqua" w:hAnsi="Book Antiqua" w:cs="Times New Roman"/>
          <w:lang w:val="en-ID"/>
        </w:rPr>
      </w:pPr>
      <w:r w:rsidRPr="0046034E">
        <w:rPr>
          <w:rFonts w:ascii="Book Antiqua" w:hAnsi="Book Antiqua" w:cs="Times New Roman"/>
          <w:lang w:val="en-ID"/>
        </w:rPr>
        <w:t>Philosophically, state intelligence is a strategic instrument in safeguarding national sovereignty and integrity. Its existence can be situated within the framework of national security theory, which positions security as a core state function. Barry Buzan (1991) emphasizes that security is the condition in which a political community is free from fundamental threats to its existence. Thus, intelligence constitutes a vital element enabling the state to fulfill its constitutional function of protecting national security against both internal and external threats.</w:t>
      </w:r>
    </w:p>
    <w:p w14:paraId="5B588566" w14:textId="77777777" w:rsidR="0046034E" w:rsidRPr="0046034E" w:rsidRDefault="0046034E" w:rsidP="0046034E">
      <w:pPr>
        <w:spacing w:after="0" w:line="240" w:lineRule="auto"/>
        <w:ind w:firstLine="567"/>
        <w:jc w:val="both"/>
        <w:rPr>
          <w:rFonts w:ascii="Book Antiqua" w:hAnsi="Book Antiqua" w:cs="Times New Roman"/>
          <w:lang w:val="en-ID"/>
        </w:rPr>
      </w:pPr>
      <w:r w:rsidRPr="0046034E">
        <w:rPr>
          <w:rFonts w:ascii="Book Antiqua" w:hAnsi="Book Antiqua" w:cs="Times New Roman"/>
          <w:lang w:val="en-ID"/>
        </w:rPr>
        <w:t xml:space="preserve">Indonesia’s constitutional history also demonstrates that intelligence has been an integral part of the defense system since independence. Over time, the intelligence institution has undergone various transformations, from the </w:t>
      </w:r>
      <w:r w:rsidRPr="0046034E">
        <w:rPr>
          <w:rFonts w:ascii="Book Antiqua" w:hAnsi="Book Antiqua" w:cs="Times New Roman"/>
          <w:i/>
          <w:iCs/>
          <w:lang w:val="en-ID"/>
        </w:rPr>
        <w:t>Badan Rahasia Negara</w:t>
      </w:r>
      <w:r w:rsidRPr="0046034E">
        <w:rPr>
          <w:rFonts w:ascii="Book Antiqua" w:hAnsi="Book Antiqua" w:cs="Times New Roman"/>
          <w:lang w:val="en-ID"/>
        </w:rPr>
        <w:t xml:space="preserve"> (State Secret Agency) to the </w:t>
      </w:r>
      <w:r w:rsidRPr="0046034E">
        <w:rPr>
          <w:rFonts w:ascii="Book Antiqua" w:hAnsi="Book Antiqua" w:cs="Times New Roman"/>
          <w:i/>
          <w:iCs/>
          <w:lang w:val="en-ID"/>
        </w:rPr>
        <w:t>Badan Koordinasi Intelijen Negara</w:t>
      </w:r>
      <w:r w:rsidRPr="0046034E">
        <w:rPr>
          <w:rFonts w:ascii="Book Antiqua" w:hAnsi="Book Antiqua" w:cs="Times New Roman"/>
          <w:lang w:val="en-ID"/>
        </w:rPr>
        <w:t xml:space="preserve"> (BAKIN), and eventually the State Intelligence Agency (BIN) under the direct authority of the President. This evolution reflects the state’s need to adjust the role of intelligence to political and security dynamics (Bhakti, 2005; Widjajanto, Lay &amp; Keliat, 2006). Nonetheless, these institutional changes must be understood within a constitutional framework that demands legal certainty.</w:t>
      </w:r>
    </w:p>
    <w:p w14:paraId="6E027983" w14:textId="77777777" w:rsidR="0046034E" w:rsidRPr="0046034E" w:rsidRDefault="0046034E" w:rsidP="0046034E">
      <w:pPr>
        <w:spacing w:after="0" w:line="240" w:lineRule="auto"/>
        <w:ind w:firstLine="567"/>
        <w:jc w:val="both"/>
        <w:rPr>
          <w:rFonts w:ascii="Book Antiqua" w:hAnsi="Book Antiqua" w:cs="Times New Roman"/>
          <w:lang w:val="en-ID"/>
        </w:rPr>
      </w:pPr>
      <w:r w:rsidRPr="0046034E">
        <w:rPr>
          <w:rFonts w:ascii="Book Antiqua" w:hAnsi="Book Antiqua" w:cs="Times New Roman"/>
          <w:lang w:val="en-ID"/>
        </w:rPr>
        <w:t>Moreover, the constitutional legitimacy of intelligence authority must also be viewed in relation to the doctrine of separation of powers. The 1945 Constitution embraces the principle of checks and balances, dividing state functions into the executive, legislative, and judiciary. Intelligence, as part of the executive, remains subject to legislative oversight (by the DPR) and judicial review under the principle of the supremacy of law. This signifies that intelligence is not a supra-constitutional body that can act without limits, but rather must be situated within a legal framework subject to constitutionalism (Asshiddiqie, 2005; Hadjon, 2007).</w:t>
      </w:r>
    </w:p>
    <w:p w14:paraId="6FFC8029" w14:textId="77777777" w:rsidR="0046034E" w:rsidRPr="0046034E" w:rsidRDefault="0046034E" w:rsidP="0046034E">
      <w:pPr>
        <w:spacing w:after="0" w:line="240" w:lineRule="auto"/>
        <w:ind w:firstLine="567"/>
        <w:jc w:val="both"/>
        <w:rPr>
          <w:rFonts w:ascii="Book Antiqua" w:hAnsi="Book Antiqua" w:cs="Times New Roman"/>
          <w:lang w:val="en-ID"/>
        </w:rPr>
      </w:pPr>
      <w:r w:rsidRPr="0046034E">
        <w:rPr>
          <w:rFonts w:ascii="Book Antiqua" w:hAnsi="Book Antiqua" w:cs="Times New Roman"/>
          <w:lang w:val="en-ID"/>
        </w:rPr>
        <w:t>Juridically, although the Constitution does not explicitly mention the term “intelligence,” within the framework of constitutional law, intelligence authority can be derived from constitutional norms on defense and security. The absence of direct provisions in the 1945 Constitution necessitates that legislators establish a clear legal framework to prevent ambiguity in intelligence authority. In this regard, Article 20 of the 1945 Constitution affirms the power of the DPR to enact laws in conjunction with the President, including in the field of intelligence (Salim, 2009).</w:t>
      </w:r>
    </w:p>
    <w:p w14:paraId="44CDA28D" w14:textId="77777777" w:rsidR="0046034E" w:rsidRDefault="0046034E" w:rsidP="0046034E">
      <w:pPr>
        <w:spacing w:after="0" w:line="240" w:lineRule="auto"/>
        <w:ind w:firstLine="567"/>
        <w:jc w:val="both"/>
        <w:rPr>
          <w:rFonts w:ascii="Book Antiqua" w:hAnsi="Book Antiqua" w:cs="Times New Roman"/>
          <w:lang w:val="en-ID"/>
        </w:rPr>
      </w:pPr>
      <w:r w:rsidRPr="0046034E">
        <w:rPr>
          <w:rFonts w:ascii="Book Antiqua" w:hAnsi="Book Antiqua" w:cs="Times New Roman"/>
          <w:lang w:val="en-ID"/>
        </w:rPr>
        <w:lastRenderedPageBreak/>
        <w:t>Therefore, the constitutional foundation of intelligence authority in Indonesia can be formulated across three dimensions, as illustrated in Figure 1.</w:t>
      </w:r>
    </w:p>
    <w:p w14:paraId="36D44450" w14:textId="6BDA9DD2" w:rsidR="007F662C" w:rsidRDefault="009D6E0A" w:rsidP="009D6E0A">
      <w:pPr>
        <w:spacing w:after="0" w:line="240" w:lineRule="auto"/>
        <w:jc w:val="center"/>
        <w:rPr>
          <w:rFonts w:ascii="Book Antiqua" w:hAnsi="Book Antiqua" w:cs="Times New Roman"/>
          <w:lang w:val="en-ID"/>
        </w:rPr>
      </w:pPr>
      <w:r>
        <w:rPr>
          <w:noProof/>
        </w:rPr>
        <w:drawing>
          <wp:inline distT="0" distB="0" distL="0" distR="0" wp14:anchorId="7CD0B0A5" wp14:editId="2FDAA47F">
            <wp:extent cx="5343525" cy="3356830"/>
            <wp:effectExtent l="0" t="0" r="0" b="0"/>
            <wp:docPr id="208646087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54984" cy="3364028"/>
                    </a:xfrm>
                    <a:prstGeom prst="rect">
                      <a:avLst/>
                    </a:prstGeom>
                    <a:noFill/>
                    <a:ln>
                      <a:noFill/>
                    </a:ln>
                  </pic:spPr>
                </pic:pic>
              </a:graphicData>
            </a:graphic>
          </wp:inline>
        </w:drawing>
      </w:r>
    </w:p>
    <w:p w14:paraId="54B174A9" w14:textId="77777777" w:rsidR="007F662C" w:rsidRPr="007F662C" w:rsidRDefault="007F662C" w:rsidP="007F662C">
      <w:pPr>
        <w:spacing w:after="0" w:line="240" w:lineRule="auto"/>
        <w:jc w:val="center"/>
        <w:rPr>
          <w:rFonts w:ascii="Book Antiqua" w:hAnsi="Book Antiqua" w:cs="Times New Roman"/>
          <w:sz w:val="20"/>
          <w:szCs w:val="20"/>
        </w:rPr>
      </w:pPr>
      <w:r w:rsidRPr="007F662C">
        <w:rPr>
          <w:rFonts w:ascii="Book Antiqua" w:hAnsi="Book Antiqua" w:cs="Times New Roman"/>
          <w:b/>
          <w:bCs/>
          <w:sz w:val="20"/>
          <w:szCs w:val="20"/>
        </w:rPr>
        <w:t xml:space="preserve">Figure 1. </w:t>
      </w:r>
      <w:r w:rsidRPr="007F662C">
        <w:rPr>
          <w:rFonts w:ascii="Book Antiqua" w:hAnsi="Book Antiqua" w:cs="Times New Roman"/>
          <w:sz w:val="20"/>
          <w:szCs w:val="20"/>
        </w:rPr>
        <w:t>Dimensions of the Constitutional Basis of Intelligence Authority in Indonesia</w:t>
      </w:r>
      <w:r w:rsidRPr="007F662C">
        <w:rPr>
          <w:rFonts w:ascii="Book Antiqua" w:hAnsi="Book Antiqua" w:cs="Times New Roman"/>
          <w:sz w:val="20"/>
          <w:szCs w:val="20"/>
        </w:rPr>
        <w:br/>
      </w:r>
    </w:p>
    <w:p w14:paraId="1EBD3549" w14:textId="1968632D" w:rsidR="007F662C" w:rsidRPr="0046034E" w:rsidRDefault="007F662C" w:rsidP="007F662C">
      <w:pPr>
        <w:spacing w:after="0" w:line="240" w:lineRule="auto"/>
        <w:ind w:firstLine="567"/>
        <w:jc w:val="both"/>
        <w:rPr>
          <w:rFonts w:ascii="Book Antiqua" w:hAnsi="Book Antiqua" w:cs="Times New Roman"/>
          <w:lang w:val="en-ID"/>
        </w:rPr>
      </w:pPr>
      <w:r w:rsidRPr="007F662C">
        <w:rPr>
          <w:rFonts w:ascii="Book Antiqua" w:hAnsi="Book Antiqua" w:cs="Times New Roman"/>
        </w:rPr>
        <w:t>These three dimensions serve as the foundation justifying the existence and authority of the State Intelligence Agency (BIN) within the Indonesian legal system, while at the same time providing limitations to ensure that such authority does not exceed the principles of democracy, human rights, and constitutionalism.</w:t>
      </w:r>
    </w:p>
    <w:p w14:paraId="08A9B0EC" w14:textId="77777777" w:rsidR="000A54C2" w:rsidRDefault="000A54C2" w:rsidP="000A54C2">
      <w:pPr>
        <w:spacing w:after="0" w:line="240" w:lineRule="auto"/>
        <w:jc w:val="both"/>
        <w:rPr>
          <w:rFonts w:ascii="Book Antiqua" w:hAnsi="Book Antiqua" w:cs="Times New Roman"/>
          <w:b/>
          <w:bCs/>
          <w:lang w:val="en-ID"/>
        </w:rPr>
      </w:pPr>
    </w:p>
    <w:p w14:paraId="5E52A6AD" w14:textId="5A5986D0" w:rsidR="000A54C2" w:rsidRPr="000A54C2" w:rsidRDefault="007F662C" w:rsidP="000A54C2">
      <w:pPr>
        <w:spacing w:after="0" w:line="240" w:lineRule="auto"/>
        <w:jc w:val="both"/>
        <w:rPr>
          <w:rFonts w:ascii="Book Antiqua" w:hAnsi="Book Antiqua" w:cs="Times New Roman"/>
          <w:b/>
          <w:bCs/>
          <w:lang w:val="en-ID"/>
        </w:rPr>
      </w:pPr>
      <w:r w:rsidRPr="007F662C">
        <w:rPr>
          <w:rFonts w:ascii="Book Antiqua" w:hAnsi="Book Antiqua" w:cs="Times New Roman"/>
          <w:b/>
          <w:bCs/>
        </w:rPr>
        <w:t>Analysis of Law No. 17 of 2011 on State Intelligence</w:t>
      </w:r>
    </w:p>
    <w:p w14:paraId="0688DE76" w14:textId="77777777" w:rsidR="007F662C" w:rsidRDefault="007F662C" w:rsidP="007F662C">
      <w:pPr>
        <w:spacing w:after="0" w:line="240" w:lineRule="auto"/>
        <w:jc w:val="both"/>
        <w:rPr>
          <w:rFonts w:ascii="Book Antiqua" w:hAnsi="Book Antiqua" w:cs="Times New Roman"/>
          <w:lang w:val="en-ID"/>
        </w:rPr>
      </w:pPr>
      <w:r w:rsidRPr="007F662C">
        <w:rPr>
          <w:rFonts w:ascii="Book Antiqua" w:hAnsi="Book Antiqua" w:cs="Times New Roman"/>
          <w:lang w:val="en-ID"/>
        </w:rPr>
        <w:t>Law No. 17 of 2011 on State Intelligence was enacted as a response to the national legal needs in the post-reform era, following demands for clearer, more transparent, and accountable regulation of state intelligence. The enactment of this law was also a consequence of the rule of law principle as stipulated in Article 1 paragraph (3) of the 1945 Constitution, which declares that Indonesia is a state based on law. Therefore, intelligence authority cannot be exercised solely on the basis of political policies or institutional practices, but must rest on a strong and explicit legal foundation (Asshiddiqie, 2005; Hadjon, 2007).</w:t>
      </w:r>
    </w:p>
    <w:p w14:paraId="6E33B2D1" w14:textId="5DB79125" w:rsidR="007F662C" w:rsidRPr="007F662C" w:rsidRDefault="007F662C" w:rsidP="007F662C">
      <w:pPr>
        <w:spacing w:after="0" w:line="240" w:lineRule="auto"/>
        <w:ind w:firstLine="567"/>
        <w:jc w:val="both"/>
        <w:rPr>
          <w:rFonts w:ascii="Book Antiqua" w:hAnsi="Book Antiqua" w:cs="Times New Roman"/>
          <w:lang w:val="en-ID"/>
        </w:rPr>
      </w:pPr>
      <w:r w:rsidRPr="007F662C">
        <w:rPr>
          <w:rFonts w:ascii="Book Antiqua" w:hAnsi="Book Antiqua" w:cs="Times New Roman"/>
          <w:lang w:val="en-ID"/>
        </w:rPr>
        <w:t>In general, the State Intelligence Law defines intelligence as knowledge, organizations, and activities related to policy formulation, decision-making, and planning concerning detection and early warning for the prevention, deterrence, and countermeasures of any threat to national security. Based on this definition, intelligence is positioned as a vital instrument in the national defense and security system (Law No. 17/2011).</w:t>
      </w:r>
    </w:p>
    <w:p w14:paraId="505FDF35" w14:textId="77777777" w:rsidR="007F662C" w:rsidRPr="007F662C" w:rsidRDefault="007F662C" w:rsidP="007F662C">
      <w:pPr>
        <w:spacing w:after="0" w:line="240" w:lineRule="auto"/>
        <w:jc w:val="both"/>
        <w:rPr>
          <w:rFonts w:ascii="Book Antiqua" w:hAnsi="Book Antiqua" w:cs="Times New Roman"/>
          <w:lang w:val="en-ID"/>
        </w:rPr>
      </w:pPr>
      <w:r w:rsidRPr="007F662C">
        <w:rPr>
          <w:rFonts w:ascii="Book Antiqua" w:hAnsi="Book Antiqua" w:cs="Times New Roman"/>
          <w:lang w:val="en-ID"/>
        </w:rPr>
        <w:t>1. The Position of BIN in the State System</w:t>
      </w:r>
    </w:p>
    <w:p w14:paraId="72054DEC" w14:textId="77777777" w:rsidR="007F662C" w:rsidRDefault="007F662C" w:rsidP="007F662C">
      <w:pPr>
        <w:spacing w:after="0" w:line="240" w:lineRule="auto"/>
        <w:ind w:firstLine="567"/>
        <w:jc w:val="both"/>
        <w:rPr>
          <w:rFonts w:ascii="Book Antiqua" w:hAnsi="Book Antiqua" w:cs="Times New Roman"/>
          <w:lang w:val="en-ID"/>
        </w:rPr>
      </w:pPr>
      <w:r w:rsidRPr="007F662C">
        <w:rPr>
          <w:rFonts w:ascii="Book Antiqua" w:hAnsi="Book Antiqua" w:cs="Times New Roman"/>
          <w:lang w:val="en-ID"/>
        </w:rPr>
        <w:t xml:space="preserve">Law No. 17 of 2011 affirms the position of the State Intelligence Agency (BIN) as a non-ministerial government institution directly under the President. This status establishes BIN as the coordinator of state intelligence, tasked with coordinating all intelligence elements within the military (TNI), police (Polri), and other sectoral agencies. Juridically, this strengthens BIN’s </w:t>
      </w:r>
      <w:r w:rsidRPr="007F662C">
        <w:rPr>
          <w:rFonts w:ascii="Book Antiqua" w:hAnsi="Book Antiqua" w:cs="Times New Roman"/>
          <w:lang w:val="en-ID"/>
        </w:rPr>
        <w:lastRenderedPageBreak/>
        <w:t>role as a strategic institution providing information and analysis to the President for state administration purposes (Widjajanto, Lay &amp; Keliat, 2006).</w:t>
      </w:r>
    </w:p>
    <w:p w14:paraId="356F6BDE" w14:textId="664832F2" w:rsidR="007F662C" w:rsidRPr="007F662C" w:rsidRDefault="007F662C" w:rsidP="007F662C">
      <w:pPr>
        <w:spacing w:after="0" w:line="240" w:lineRule="auto"/>
        <w:ind w:firstLine="567"/>
        <w:jc w:val="both"/>
        <w:rPr>
          <w:rFonts w:ascii="Book Antiqua" w:hAnsi="Book Antiqua" w:cs="Times New Roman"/>
          <w:lang w:val="en-ID"/>
        </w:rPr>
      </w:pPr>
      <w:r w:rsidRPr="007F662C">
        <w:rPr>
          <w:rFonts w:ascii="Book Antiqua" w:hAnsi="Book Antiqua" w:cs="Times New Roman"/>
          <w:lang w:val="en-ID"/>
        </w:rPr>
        <w:t>With this position, BIN has broad authority in carrying out the functions of state intelligence. However, the problem is that the State Intelligence Law does not regulate in detail the mechanisms of coordination, division of authority, and delineation of tasks between BIN and other intelligence agencies. As a result, overlaps in functions and authority occur, especially in relation to military and police intelligence (Bhakti, 2005; Nugroho, 2014).</w:t>
      </w:r>
    </w:p>
    <w:p w14:paraId="0E8A006A" w14:textId="77777777" w:rsidR="007F662C" w:rsidRPr="007F662C" w:rsidRDefault="007F662C" w:rsidP="007F662C">
      <w:pPr>
        <w:spacing w:after="0" w:line="240" w:lineRule="auto"/>
        <w:jc w:val="both"/>
        <w:rPr>
          <w:rFonts w:ascii="Book Antiqua" w:hAnsi="Book Antiqua" w:cs="Times New Roman"/>
          <w:lang w:val="en-ID"/>
        </w:rPr>
      </w:pPr>
      <w:r w:rsidRPr="007F662C">
        <w:rPr>
          <w:rFonts w:ascii="Book Antiqua" w:hAnsi="Book Antiqua" w:cs="Times New Roman"/>
          <w:lang w:val="en-ID"/>
        </w:rPr>
        <w:t>2. Scope of BIN’s Authority</w:t>
      </w:r>
    </w:p>
    <w:p w14:paraId="7C2791EE" w14:textId="77777777" w:rsidR="007F662C" w:rsidRDefault="007F662C" w:rsidP="007F662C">
      <w:pPr>
        <w:spacing w:after="0" w:line="240" w:lineRule="auto"/>
        <w:ind w:firstLine="567"/>
        <w:jc w:val="both"/>
        <w:rPr>
          <w:rFonts w:ascii="Book Antiqua" w:hAnsi="Book Antiqua" w:cs="Times New Roman"/>
          <w:lang w:val="en-ID"/>
        </w:rPr>
      </w:pPr>
      <w:r w:rsidRPr="007F662C">
        <w:rPr>
          <w:rFonts w:ascii="Book Antiqua" w:hAnsi="Book Antiqua" w:cs="Times New Roman"/>
          <w:lang w:val="en-ID"/>
        </w:rPr>
        <w:t>Law No. 17 of 2011 grants BIN authority in three main functions: investigation, security, and mobilization. In addition, Article 31 of the Law provides BIN with special powers, namely conducting wiretapping, examining financial flows, and extracting other information related to efforts to prevent and counter threats to national security.</w:t>
      </w:r>
    </w:p>
    <w:p w14:paraId="62123492" w14:textId="77777777" w:rsidR="007F662C" w:rsidRDefault="007F662C" w:rsidP="007F662C">
      <w:pPr>
        <w:spacing w:after="0" w:line="240" w:lineRule="auto"/>
        <w:ind w:firstLine="567"/>
        <w:jc w:val="both"/>
        <w:rPr>
          <w:rFonts w:ascii="Book Antiqua" w:hAnsi="Book Antiqua" w:cs="Times New Roman"/>
          <w:lang w:val="en-ID"/>
        </w:rPr>
      </w:pPr>
      <w:r w:rsidRPr="007F662C">
        <w:rPr>
          <w:rFonts w:ascii="Book Antiqua" w:hAnsi="Book Antiqua" w:cs="Times New Roman"/>
          <w:lang w:val="en-ID"/>
        </w:rPr>
        <w:t>This authority is intended to enable BIN to act quickly and precisely (</w:t>
      </w:r>
      <w:r w:rsidRPr="007F662C">
        <w:rPr>
          <w:rFonts w:ascii="Book Antiqua" w:hAnsi="Book Antiqua" w:cs="Times New Roman"/>
          <w:i/>
          <w:iCs/>
          <w:lang w:val="en-ID"/>
        </w:rPr>
        <w:t>velox et exactus</w:t>
      </w:r>
      <w:r w:rsidRPr="007F662C">
        <w:rPr>
          <w:rFonts w:ascii="Book Antiqua" w:hAnsi="Book Antiqua" w:cs="Times New Roman"/>
          <w:lang w:val="en-ID"/>
        </w:rPr>
        <w:t>) in addressing threats to the state. However, several provisions of the Law are controversial. The wiretapping authority, for instance, has been criticized because it does not require judicial approval, which is seen as contradicting the principle of protecting human rights, particularly the right to privacy (Djafar, 2012; ELSAM, 2012).</w:t>
      </w:r>
    </w:p>
    <w:p w14:paraId="2C9A5C37" w14:textId="7AD76D70" w:rsidR="007F662C" w:rsidRPr="007F662C" w:rsidRDefault="007F662C" w:rsidP="007F662C">
      <w:pPr>
        <w:spacing w:after="0" w:line="240" w:lineRule="auto"/>
        <w:ind w:firstLine="567"/>
        <w:jc w:val="both"/>
        <w:rPr>
          <w:rFonts w:ascii="Book Antiqua" w:hAnsi="Book Antiqua" w:cs="Times New Roman"/>
          <w:lang w:val="en-ID"/>
        </w:rPr>
      </w:pPr>
      <w:r w:rsidRPr="007F662C">
        <w:rPr>
          <w:rFonts w:ascii="Book Antiqua" w:hAnsi="Book Antiqua" w:cs="Times New Roman"/>
          <w:lang w:val="en-ID"/>
        </w:rPr>
        <w:t>Moreover, the definition of “threat” in the Law is considered too broad and open to multiple interpretations. Article 1 point 6 defines threats as any attempt, work, activity, or action, both domestic and foreign, that is deemed to endanger national security. Such a broad definition risks legitimizing intelligence actions against civil society groups, political opposition, or activists critical of the government (Imparsial, 2005; Nashidik, 2005).</w:t>
      </w:r>
    </w:p>
    <w:p w14:paraId="38D07EF3" w14:textId="77777777" w:rsidR="007F662C" w:rsidRPr="007F662C" w:rsidRDefault="007F662C" w:rsidP="007F662C">
      <w:pPr>
        <w:spacing w:after="0" w:line="240" w:lineRule="auto"/>
        <w:jc w:val="both"/>
        <w:rPr>
          <w:rFonts w:ascii="Book Antiqua" w:hAnsi="Book Antiqua" w:cs="Times New Roman"/>
          <w:lang w:val="en-ID"/>
        </w:rPr>
      </w:pPr>
      <w:r w:rsidRPr="007F662C">
        <w:rPr>
          <w:rFonts w:ascii="Book Antiqua" w:hAnsi="Book Antiqua" w:cs="Times New Roman"/>
          <w:lang w:val="en-ID"/>
        </w:rPr>
        <w:t>3. Implementation Problems</w:t>
      </w:r>
    </w:p>
    <w:p w14:paraId="30E873B9" w14:textId="77777777" w:rsidR="007F662C" w:rsidRDefault="007F662C" w:rsidP="007F662C">
      <w:pPr>
        <w:spacing w:after="0" w:line="240" w:lineRule="auto"/>
        <w:ind w:firstLine="567"/>
        <w:jc w:val="both"/>
        <w:rPr>
          <w:rFonts w:ascii="Book Antiqua" w:hAnsi="Book Antiqua" w:cs="Times New Roman"/>
          <w:lang w:val="en-ID"/>
        </w:rPr>
      </w:pPr>
      <w:r w:rsidRPr="007F662C">
        <w:rPr>
          <w:rFonts w:ascii="Book Antiqua" w:hAnsi="Book Antiqua" w:cs="Times New Roman"/>
          <w:lang w:val="en-ID"/>
        </w:rPr>
        <w:t>Since its enactment, Law No. 17 of 2011 has faced serious challenges in implementation. First, the broad powers granted to BIN are not balanced with adequate oversight mechanisms. The DPR (House of Representatives) only carries out its supervisory function through Commission I, but this supervision is more political than operational in nature. There is still no independent body that comprehensively oversees BIN’s performance (Widjajanto &amp; Wardhani, 2008).</w:t>
      </w:r>
    </w:p>
    <w:p w14:paraId="64AF383B" w14:textId="77777777" w:rsidR="007F662C" w:rsidRDefault="007F662C" w:rsidP="007F662C">
      <w:pPr>
        <w:spacing w:after="0" w:line="240" w:lineRule="auto"/>
        <w:ind w:firstLine="567"/>
        <w:jc w:val="both"/>
        <w:rPr>
          <w:rFonts w:ascii="Book Antiqua" w:hAnsi="Book Antiqua" w:cs="Times New Roman"/>
          <w:lang w:val="en-ID"/>
        </w:rPr>
      </w:pPr>
      <w:r w:rsidRPr="007F662C">
        <w:rPr>
          <w:rFonts w:ascii="Book Antiqua" w:hAnsi="Book Antiqua" w:cs="Times New Roman"/>
          <w:lang w:val="en-ID"/>
        </w:rPr>
        <w:t>Second, in practice, BIN’s wiretapping authority is often debated because it potentially overlaps with the powers of other institutions such as the Police and the Corruption Eradication Commission (KPK). This has led to disharmony among law enforcement agencies and legal uncertainty (Asshiddiqie, 2005; Nugroho, 2014).</w:t>
      </w:r>
    </w:p>
    <w:p w14:paraId="4C02BC28" w14:textId="5E265D36" w:rsidR="007F662C" w:rsidRPr="007F662C" w:rsidRDefault="007F662C" w:rsidP="007F662C">
      <w:pPr>
        <w:spacing w:after="0" w:line="240" w:lineRule="auto"/>
        <w:ind w:firstLine="567"/>
        <w:jc w:val="both"/>
        <w:rPr>
          <w:rFonts w:ascii="Book Antiqua" w:hAnsi="Book Antiqua" w:cs="Times New Roman"/>
          <w:lang w:val="en-ID"/>
        </w:rPr>
      </w:pPr>
      <w:r w:rsidRPr="007F662C">
        <w:rPr>
          <w:rFonts w:ascii="Book Antiqua" w:hAnsi="Book Antiqua" w:cs="Times New Roman"/>
          <w:lang w:val="en-ID"/>
        </w:rPr>
        <w:t>Third, the State Intelligence Law has not fully addressed the challenges of the digital era. Advances in information technology have given rise to new forms of threats, such as cybercrime, online radicalism, and disinformation. BIN’s authority in the Law is still focused on conventional wiretapping, not on mastering cyber technology and artificial intelligence (Bahtiar et al., 2021).</w:t>
      </w:r>
    </w:p>
    <w:p w14:paraId="1FF93981" w14:textId="77777777" w:rsidR="007F662C" w:rsidRPr="007F662C" w:rsidRDefault="007F662C" w:rsidP="007F662C">
      <w:pPr>
        <w:spacing w:after="0" w:line="240" w:lineRule="auto"/>
        <w:jc w:val="both"/>
        <w:rPr>
          <w:rFonts w:ascii="Book Antiqua" w:hAnsi="Book Antiqua" w:cs="Times New Roman"/>
          <w:lang w:val="en-ID"/>
        </w:rPr>
      </w:pPr>
      <w:r w:rsidRPr="007F662C">
        <w:rPr>
          <w:rFonts w:ascii="Book Antiqua" w:hAnsi="Book Antiqua" w:cs="Times New Roman"/>
          <w:lang w:val="en-ID"/>
        </w:rPr>
        <w:t>4. Criticism and Judicial Review</w:t>
      </w:r>
    </w:p>
    <w:p w14:paraId="39E9BECD" w14:textId="77777777" w:rsidR="007F662C" w:rsidRDefault="007F662C" w:rsidP="007F662C">
      <w:pPr>
        <w:spacing w:after="0" w:line="240" w:lineRule="auto"/>
        <w:ind w:firstLine="567"/>
        <w:jc w:val="both"/>
        <w:rPr>
          <w:rFonts w:ascii="Book Antiqua" w:hAnsi="Book Antiqua" w:cs="Times New Roman"/>
          <w:lang w:val="en-ID"/>
        </w:rPr>
      </w:pPr>
      <w:r w:rsidRPr="007F662C">
        <w:rPr>
          <w:rFonts w:ascii="Book Antiqua" w:hAnsi="Book Antiqua" w:cs="Times New Roman"/>
          <w:lang w:val="en-ID"/>
        </w:rPr>
        <w:t>Law No. 17 of 2011 was once subjected to a judicial review at the Constitutional Court. Articles that were challenged included Article 31 on wiretapping and Article 34 on the authority to examine financial flows. The petitioners argued that these provisions violated the constitutional rights of citizens, particularly the right to privacy and protection from arbitrary state actions (MKRI, 2012).</w:t>
      </w:r>
    </w:p>
    <w:p w14:paraId="5975AFD8" w14:textId="4A159B0B" w:rsidR="007F662C" w:rsidRPr="007F662C" w:rsidRDefault="007F662C" w:rsidP="007F662C">
      <w:pPr>
        <w:spacing w:after="0" w:line="240" w:lineRule="auto"/>
        <w:ind w:firstLine="567"/>
        <w:jc w:val="both"/>
        <w:rPr>
          <w:rFonts w:ascii="Book Antiqua" w:hAnsi="Book Antiqua" w:cs="Times New Roman"/>
          <w:lang w:val="en-ID"/>
        </w:rPr>
      </w:pPr>
      <w:r w:rsidRPr="007F662C">
        <w:rPr>
          <w:rFonts w:ascii="Book Antiqua" w:hAnsi="Book Antiqua" w:cs="Times New Roman"/>
          <w:lang w:val="en-ID"/>
        </w:rPr>
        <w:t xml:space="preserve">In its ruling, the Constitutional Court declared that BIN’s wiretapping authority must be aligned with the principles of the rule of law. The Court emphasized the importance of clear control mechanisms to ensure that this authority does not conflict with the Constitution (MKRI, </w:t>
      </w:r>
      <w:r w:rsidRPr="007F662C">
        <w:rPr>
          <w:rFonts w:ascii="Book Antiqua" w:hAnsi="Book Antiqua" w:cs="Times New Roman"/>
          <w:lang w:val="en-ID"/>
        </w:rPr>
        <w:lastRenderedPageBreak/>
        <w:t>2012). This decision affirmed that although BIN’s authority has a legal basis, it must remain subject to the principles of constitutionalism.</w:t>
      </w:r>
    </w:p>
    <w:p w14:paraId="61866656" w14:textId="77777777" w:rsidR="007F662C" w:rsidRPr="007F662C" w:rsidRDefault="007F662C" w:rsidP="007F662C">
      <w:pPr>
        <w:spacing w:after="0" w:line="240" w:lineRule="auto"/>
        <w:jc w:val="both"/>
        <w:rPr>
          <w:rFonts w:ascii="Book Antiqua" w:hAnsi="Book Antiqua" w:cs="Times New Roman"/>
          <w:lang w:val="en-ID"/>
        </w:rPr>
      </w:pPr>
      <w:r w:rsidRPr="007F662C">
        <w:rPr>
          <w:rFonts w:ascii="Book Antiqua" w:hAnsi="Book Antiqua" w:cs="Times New Roman"/>
          <w:lang w:val="en-ID"/>
        </w:rPr>
        <w:t>5. Juridical and Constitutional Evaluation</w:t>
      </w:r>
    </w:p>
    <w:p w14:paraId="7C10D006" w14:textId="77777777" w:rsidR="007F662C" w:rsidRPr="007F662C" w:rsidRDefault="007F662C" w:rsidP="007F662C">
      <w:pPr>
        <w:spacing w:after="0" w:line="240" w:lineRule="auto"/>
        <w:ind w:firstLine="567"/>
        <w:jc w:val="both"/>
        <w:rPr>
          <w:rFonts w:ascii="Book Antiqua" w:hAnsi="Book Antiqua" w:cs="Times New Roman"/>
          <w:lang w:val="en-ID"/>
        </w:rPr>
      </w:pPr>
      <w:r w:rsidRPr="007F662C">
        <w:rPr>
          <w:rFonts w:ascii="Book Antiqua" w:hAnsi="Book Antiqua" w:cs="Times New Roman"/>
          <w:lang w:val="en-ID"/>
        </w:rPr>
        <w:t>Normatively, Law No. 17 of 2011 has provided a legal foundation for BIN’s authority, thereby fulfilling the principle of legality in a state based on law. However, constitutionally, this Law still leaves several fundamental issues, namely:</w:t>
      </w:r>
    </w:p>
    <w:p w14:paraId="1097C7FC" w14:textId="77777777" w:rsidR="007F662C" w:rsidRPr="007F662C" w:rsidRDefault="007F662C" w:rsidP="007F662C">
      <w:pPr>
        <w:pStyle w:val="ListParagraph"/>
        <w:numPr>
          <w:ilvl w:val="0"/>
          <w:numId w:val="29"/>
        </w:numPr>
        <w:ind w:left="284" w:hanging="284"/>
        <w:jc w:val="both"/>
        <w:rPr>
          <w:rFonts w:ascii="Book Antiqua" w:hAnsi="Book Antiqua"/>
          <w:sz w:val="22"/>
          <w:szCs w:val="22"/>
          <w:lang w:val="en-ID"/>
        </w:rPr>
      </w:pPr>
      <w:r w:rsidRPr="007F662C">
        <w:rPr>
          <w:rFonts w:ascii="Book Antiqua" w:hAnsi="Book Antiqua"/>
          <w:sz w:val="22"/>
          <w:szCs w:val="22"/>
          <w:lang w:val="en-ID"/>
        </w:rPr>
        <w:t>A vague and overly broad definition of “threat,” which risks excessive use.</w:t>
      </w:r>
    </w:p>
    <w:p w14:paraId="628F6E6F" w14:textId="77777777" w:rsidR="007F662C" w:rsidRPr="007F662C" w:rsidRDefault="007F662C" w:rsidP="007F662C">
      <w:pPr>
        <w:pStyle w:val="ListParagraph"/>
        <w:numPr>
          <w:ilvl w:val="0"/>
          <w:numId w:val="29"/>
        </w:numPr>
        <w:ind w:left="284" w:hanging="284"/>
        <w:jc w:val="both"/>
        <w:rPr>
          <w:rFonts w:ascii="Book Antiqua" w:hAnsi="Book Antiqua"/>
          <w:sz w:val="22"/>
          <w:szCs w:val="22"/>
          <w:lang w:val="en-ID"/>
        </w:rPr>
      </w:pPr>
      <w:r w:rsidRPr="007F662C">
        <w:rPr>
          <w:rFonts w:ascii="Book Antiqua" w:hAnsi="Book Antiqua"/>
          <w:sz w:val="22"/>
          <w:szCs w:val="22"/>
          <w:lang w:val="en-ID"/>
        </w:rPr>
        <w:t>Wiretapping authority without judicial approval, which contradicts human rights principles.</w:t>
      </w:r>
    </w:p>
    <w:p w14:paraId="4AA6AEC6" w14:textId="77777777" w:rsidR="007F662C" w:rsidRPr="007F662C" w:rsidRDefault="007F662C" w:rsidP="007F662C">
      <w:pPr>
        <w:pStyle w:val="ListParagraph"/>
        <w:numPr>
          <w:ilvl w:val="0"/>
          <w:numId w:val="29"/>
        </w:numPr>
        <w:ind w:left="284" w:hanging="284"/>
        <w:jc w:val="both"/>
        <w:rPr>
          <w:rFonts w:ascii="Book Antiqua" w:hAnsi="Book Antiqua"/>
          <w:sz w:val="22"/>
          <w:szCs w:val="22"/>
          <w:lang w:val="en-ID"/>
        </w:rPr>
      </w:pPr>
      <w:r w:rsidRPr="007F662C">
        <w:rPr>
          <w:rFonts w:ascii="Book Antiqua" w:hAnsi="Book Antiqua"/>
          <w:sz w:val="22"/>
          <w:szCs w:val="22"/>
          <w:lang w:val="en-ID"/>
        </w:rPr>
        <w:t>The absence of an independent supervisory body to ensure BIN’s accountability.</w:t>
      </w:r>
    </w:p>
    <w:p w14:paraId="2C096DC4" w14:textId="13414953" w:rsidR="007F662C" w:rsidRPr="007F662C" w:rsidRDefault="007F662C" w:rsidP="007F662C">
      <w:pPr>
        <w:pStyle w:val="ListParagraph"/>
        <w:numPr>
          <w:ilvl w:val="0"/>
          <w:numId w:val="29"/>
        </w:numPr>
        <w:ind w:left="284" w:hanging="284"/>
        <w:jc w:val="both"/>
        <w:rPr>
          <w:rFonts w:ascii="Book Antiqua" w:hAnsi="Book Antiqua"/>
          <w:sz w:val="22"/>
          <w:szCs w:val="22"/>
          <w:lang w:val="en-ID"/>
        </w:rPr>
      </w:pPr>
      <w:r w:rsidRPr="007F662C">
        <w:rPr>
          <w:rFonts w:ascii="Book Antiqua" w:hAnsi="Book Antiqua"/>
          <w:sz w:val="22"/>
          <w:szCs w:val="22"/>
          <w:lang w:val="en-ID"/>
        </w:rPr>
        <w:t>Lack of harmonization between BIN’s authority and that of other intelligence agencies.</w:t>
      </w:r>
    </w:p>
    <w:p w14:paraId="4DAC092E" w14:textId="77777777" w:rsidR="003A7894" w:rsidRPr="00144B57" w:rsidRDefault="003A7894" w:rsidP="003A7894">
      <w:pPr>
        <w:spacing w:after="0" w:line="240" w:lineRule="auto"/>
        <w:jc w:val="both"/>
        <w:rPr>
          <w:rFonts w:ascii="Book Antiqua" w:hAnsi="Book Antiqua" w:cs="Times New Roman"/>
          <w:bCs/>
          <w:lang w:val="en-ID"/>
        </w:rPr>
      </w:pPr>
    </w:p>
    <w:p w14:paraId="5BE90679" w14:textId="55BE4C27" w:rsidR="003A7894" w:rsidRPr="00144B57" w:rsidRDefault="00B24452" w:rsidP="003A7894">
      <w:pPr>
        <w:spacing w:after="0" w:line="240" w:lineRule="auto"/>
        <w:jc w:val="both"/>
        <w:rPr>
          <w:rFonts w:ascii="Book Antiqua" w:hAnsi="Book Antiqua" w:cs="Times New Roman"/>
          <w:b/>
          <w:lang w:val="en-ID"/>
        </w:rPr>
      </w:pPr>
      <w:r w:rsidRPr="00B24452">
        <w:rPr>
          <w:rFonts w:ascii="Book Antiqua" w:hAnsi="Book Antiqua" w:cs="Times New Roman"/>
          <w:b/>
        </w:rPr>
        <w:t>The Legal Vacuum Problem Due to the Absence of a National Security Law</w:t>
      </w:r>
    </w:p>
    <w:p w14:paraId="5470C155" w14:textId="77777777" w:rsidR="00B24452" w:rsidRPr="00B24452" w:rsidRDefault="00B24452" w:rsidP="00B24452">
      <w:pPr>
        <w:spacing w:after="0" w:line="240" w:lineRule="auto"/>
        <w:jc w:val="both"/>
        <w:rPr>
          <w:rFonts w:ascii="Book Antiqua" w:hAnsi="Book Antiqua" w:cs="Times New Roman"/>
          <w:bCs/>
          <w:lang w:val="en-ID"/>
        </w:rPr>
      </w:pPr>
      <w:r w:rsidRPr="00B24452">
        <w:rPr>
          <w:rFonts w:ascii="Book Antiqua" w:hAnsi="Book Antiqua" w:cs="Times New Roman"/>
          <w:bCs/>
          <w:lang w:val="en-ID"/>
        </w:rPr>
        <w:t>One of the fundamental problems in regulating intelligence authority in Indonesia is the absence of a National Security Law, which should serve as the main legal umbrella for comprehensively organizing the national security system. To date, national security regulations remain fragmented across various sectoral laws, such as the Law on National Defense, the Law on the National Police, the Law on the Armed Forces (TNI), and the Law on State Intelligence. The lack of a law specifically governing national security has led to disharmony among regulations and created a serious legal vacuum (Darmono, 2010; Nugroho, 2014).</w:t>
      </w:r>
    </w:p>
    <w:p w14:paraId="04B5B0BA" w14:textId="77777777" w:rsidR="00B24452" w:rsidRPr="00B24452" w:rsidRDefault="00B24452" w:rsidP="00B24452">
      <w:pPr>
        <w:spacing w:after="0" w:line="240" w:lineRule="auto"/>
        <w:ind w:firstLine="567"/>
        <w:jc w:val="both"/>
        <w:rPr>
          <w:rFonts w:ascii="Book Antiqua" w:hAnsi="Book Antiqua" w:cs="Times New Roman"/>
          <w:bCs/>
          <w:lang w:val="en-ID"/>
        </w:rPr>
      </w:pPr>
      <w:r w:rsidRPr="00B24452">
        <w:rPr>
          <w:rFonts w:ascii="Book Antiqua" w:hAnsi="Book Antiqua" w:cs="Times New Roman"/>
          <w:bCs/>
          <w:lang w:val="en-ID"/>
        </w:rPr>
        <w:t xml:space="preserve">In the constitutional legal system, the existence of a National Security Law is crucial as a </w:t>
      </w:r>
      <w:r w:rsidRPr="00B24452">
        <w:rPr>
          <w:rFonts w:ascii="Book Antiqua" w:hAnsi="Book Antiqua" w:cs="Times New Roman"/>
          <w:bCs/>
          <w:i/>
          <w:iCs/>
          <w:lang w:val="en-ID"/>
        </w:rPr>
        <w:t>lex generalis</w:t>
      </w:r>
      <w:r w:rsidRPr="00B24452">
        <w:rPr>
          <w:rFonts w:ascii="Book Antiqua" w:hAnsi="Book Antiqua" w:cs="Times New Roman"/>
          <w:bCs/>
          <w:lang w:val="en-ID"/>
        </w:rPr>
        <w:t xml:space="preserve"> governing the overall national security system, while sectoral laws function as </w:t>
      </w:r>
      <w:r w:rsidRPr="00B24452">
        <w:rPr>
          <w:rFonts w:ascii="Book Antiqua" w:hAnsi="Book Antiqua" w:cs="Times New Roman"/>
          <w:bCs/>
          <w:i/>
          <w:iCs/>
          <w:lang w:val="en-ID"/>
        </w:rPr>
        <w:t>lex specialis</w:t>
      </w:r>
      <w:r w:rsidRPr="00B24452">
        <w:rPr>
          <w:rFonts w:ascii="Book Antiqua" w:hAnsi="Book Antiqua" w:cs="Times New Roman"/>
          <w:bCs/>
          <w:lang w:val="en-ID"/>
        </w:rPr>
        <w:t xml:space="preserve"> regulating specific areas. Without such a law, intelligence authority operates without a comprehensive legal framework, making it vulnerable to overlapping powers with other institutions, including the TNI, the Police, and other law enforcement agencies (Asshiddiqie, 2005; Hadjon, 2007).</w:t>
      </w:r>
    </w:p>
    <w:p w14:paraId="494970B0" w14:textId="77777777" w:rsidR="00B24452" w:rsidRPr="00B24452" w:rsidRDefault="00B24452" w:rsidP="00B24452">
      <w:pPr>
        <w:spacing w:after="0" w:line="240" w:lineRule="auto"/>
        <w:ind w:firstLine="567"/>
        <w:jc w:val="both"/>
        <w:rPr>
          <w:rFonts w:ascii="Book Antiqua" w:hAnsi="Book Antiqua" w:cs="Times New Roman"/>
          <w:bCs/>
          <w:lang w:val="en-ID"/>
        </w:rPr>
      </w:pPr>
      <w:r w:rsidRPr="00B24452">
        <w:rPr>
          <w:rFonts w:ascii="Book Antiqua" w:hAnsi="Book Antiqua" w:cs="Times New Roman"/>
          <w:bCs/>
          <w:lang w:val="en-ID"/>
        </w:rPr>
        <w:t>This legal vacuum also undermines the legitimacy of intelligence authority, particularly when the State Intelligence Agency (BIN) carries out strategic functions such as wiretapping, monitoring financial transactions, or counter-intelligence operations. While these powers are granted under Law No. 17 of 2011, they are not integrated within a holistic concept of national security. This situation generates juridical problems, such as ambiguous definitions of threats and overlaps with the authority of other law enforcement agencies (Djafar, 2012; ELSAM, 2012).</w:t>
      </w:r>
    </w:p>
    <w:p w14:paraId="2174F4B8" w14:textId="77777777" w:rsidR="00B24452" w:rsidRPr="00B24452" w:rsidRDefault="00B24452" w:rsidP="00B24452">
      <w:pPr>
        <w:spacing w:after="0" w:line="240" w:lineRule="auto"/>
        <w:ind w:firstLine="567"/>
        <w:jc w:val="both"/>
        <w:rPr>
          <w:rFonts w:ascii="Book Antiqua" w:hAnsi="Book Antiqua" w:cs="Times New Roman"/>
          <w:bCs/>
          <w:lang w:val="en-ID"/>
        </w:rPr>
      </w:pPr>
      <w:r w:rsidRPr="00B24452">
        <w:rPr>
          <w:rFonts w:ascii="Book Antiqua" w:hAnsi="Book Antiqua" w:cs="Times New Roman"/>
          <w:bCs/>
          <w:lang w:val="en-ID"/>
        </w:rPr>
        <w:t>The absence of a National Security Law also raises issues of oversight. BIN operates directly under the President and is supervised by the House of Representatives (DPR), but such oversight is insufficient since it is not detailed in a comprehensive national legal framework. In practice, DPR’s supervision is more political than substantive, leaving intelligence accountability frequently in question (Widjajanto, Lay &amp; Keliat, 2006; Widjajanto &amp; Wardhani, 2008).</w:t>
      </w:r>
    </w:p>
    <w:p w14:paraId="1EDCF616" w14:textId="77777777" w:rsidR="00B24452" w:rsidRPr="00B24452" w:rsidRDefault="00B24452" w:rsidP="00B24452">
      <w:pPr>
        <w:spacing w:after="0" w:line="240" w:lineRule="auto"/>
        <w:ind w:firstLine="567"/>
        <w:jc w:val="both"/>
        <w:rPr>
          <w:rFonts w:ascii="Book Antiqua" w:hAnsi="Book Antiqua" w:cs="Times New Roman"/>
          <w:bCs/>
          <w:lang w:val="en-ID"/>
        </w:rPr>
      </w:pPr>
      <w:r w:rsidRPr="00B24452">
        <w:rPr>
          <w:rFonts w:ascii="Book Antiqua" w:hAnsi="Book Antiqua" w:cs="Times New Roman"/>
          <w:bCs/>
          <w:lang w:val="en-ID"/>
        </w:rPr>
        <w:t>Another consequence of this legal vacuum is weak harmonization among intelligence agencies. Institutions such as BIN, the Armed Forces Intelligence Agency (BAIS TNI), the Police Intelligence Unit, and ministerial intelligence bodies often work with a sectoral orientation without effective coordination. This results in overlapping authority, inefficiency, and even conflicts of interest among intelligence agencies (Bhakti, 2005; Nugroho, 2014).</w:t>
      </w:r>
    </w:p>
    <w:p w14:paraId="1DD96929" w14:textId="77777777" w:rsidR="00B24452" w:rsidRPr="00B24452" w:rsidRDefault="00B24452" w:rsidP="00B24452">
      <w:pPr>
        <w:spacing w:after="0" w:line="240" w:lineRule="auto"/>
        <w:ind w:firstLine="567"/>
        <w:jc w:val="both"/>
        <w:rPr>
          <w:rFonts w:ascii="Book Antiqua" w:hAnsi="Book Antiqua" w:cs="Times New Roman"/>
          <w:bCs/>
          <w:lang w:val="en-ID"/>
        </w:rPr>
      </w:pPr>
      <w:r w:rsidRPr="00B24452">
        <w:rPr>
          <w:rFonts w:ascii="Book Antiqua" w:hAnsi="Book Antiqua" w:cs="Times New Roman"/>
          <w:bCs/>
          <w:lang w:val="en-ID"/>
        </w:rPr>
        <w:t xml:space="preserve">In comparative perspective, democratic countries generally possess national security laws that serve as the legal umbrella for all security institutions, including intelligence. In the United States, for example, the National Security Act of 1947 comprehensively regulates the national security system, including the relationship between intelligence, defense, and foreign policy institutions (Johnson, 2019). Similarly, in Australia, the ASIO Act of 1979 ensures that </w:t>
      </w:r>
      <w:r w:rsidRPr="00B24452">
        <w:rPr>
          <w:rFonts w:ascii="Book Antiqua" w:hAnsi="Book Antiqua" w:cs="Times New Roman"/>
          <w:bCs/>
          <w:lang w:val="en-ID"/>
        </w:rPr>
        <w:lastRenderedPageBreak/>
        <w:t>intelligence authority operates within a clear national legal framework, with independent oversight mechanisms provided by the Inspector-General of Intelligence and Security (IGIS) (Lowenthal, 2009).</w:t>
      </w:r>
    </w:p>
    <w:p w14:paraId="38A40217" w14:textId="77777777" w:rsidR="00B24452" w:rsidRPr="00B24452" w:rsidRDefault="00B24452" w:rsidP="00B24452">
      <w:pPr>
        <w:spacing w:after="0" w:line="240" w:lineRule="auto"/>
        <w:ind w:firstLine="567"/>
        <w:jc w:val="both"/>
        <w:rPr>
          <w:rFonts w:ascii="Book Antiqua" w:hAnsi="Book Antiqua" w:cs="Times New Roman"/>
          <w:bCs/>
          <w:lang w:val="en-ID"/>
        </w:rPr>
      </w:pPr>
      <w:r w:rsidRPr="00B24452">
        <w:rPr>
          <w:rFonts w:ascii="Book Antiqua" w:hAnsi="Book Antiqua" w:cs="Times New Roman"/>
          <w:bCs/>
          <w:lang w:val="en-ID"/>
        </w:rPr>
        <w:t>Indonesia’s lack of a National Security Law clearly creates legal uncertainty. BIN, which should function as the coordinator of national intelligence, often faces disputes over its authority because no legal umbrella comprehensively regulates the position of intelligence within the national security system. Consequently, BIN’s exercise of authority is often considered excessive, particularly when it touches upon human rights and civil liberties (Imparsial, 2005; Nashidik, 2005).</w:t>
      </w:r>
    </w:p>
    <w:p w14:paraId="7CFFFA2C" w14:textId="614591B0" w:rsidR="00B24452" w:rsidRDefault="00B24452" w:rsidP="009D6E0A">
      <w:pPr>
        <w:spacing w:after="0" w:line="240" w:lineRule="auto"/>
        <w:ind w:firstLine="567"/>
        <w:jc w:val="both"/>
        <w:rPr>
          <w:rFonts w:ascii="Book Antiqua" w:hAnsi="Book Antiqua" w:cs="Times New Roman"/>
          <w:bCs/>
          <w:lang w:val="en-ID"/>
        </w:rPr>
      </w:pPr>
      <w:r w:rsidRPr="00B24452">
        <w:rPr>
          <w:rFonts w:ascii="Book Antiqua" w:hAnsi="Book Antiqua" w:cs="Times New Roman"/>
          <w:bCs/>
          <w:lang w:val="en-ID"/>
        </w:rPr>
        <w:t>The absence of a National Security Law also weakens the integration of national security policy. While the President, as head of government, has the authority to coordinate security institutions, without a clear legal framework such coordination lacks legal certainty and depends largely on political discretion. This condition risks the use of intelligence for practical political interests, as occurred during the New Order era (Bhakti, 2005; Widjajanto &amp; Wardhani, 2008).</w:t>
      </w:r>
    </w:p>
    <w:p w14:paraId="0077C361" w14:textId="77777777" w:rsidR="00B24452" w:rsidRPr="00144B57" w:rsidRDefault="00B24452" w:rsidP="00B24452">
      <w:pPr>
        <w:spacing w:after="0" w:line="240" w:lineRule="auto"/>
        <w:ind w:firstLine="567"/>
        <w:jc w:val="both"/>
        <w:rPr>
          <w:rFonts w:ascii="Book Antiqua" w:hAnsi="Book Antiqua" w:cs="Times New Roman"/>
          <w:bCs/>
          <w:lang w:val="en-ID"/>
        </w:rPr>
      </w:pPr>
    </w:p>
    <w:p w14:paraId="74C8A9B1" w14:textId="044BF3EE" w:rsidR="003A7894" w:rsidRPr="00144B57" w:rsidRDefault="00B24452" w:rsidP="003A7894">
      <w:pPr>
        <w:spacing w:after="0" w:line="240" w:lineRule="auto"/>
        <w:jc w:val="both"/>
        <w:rPr>
          <w:rFonts w:ascii="Book Antiqua" w:hAnsi="Book Antiqua" w:cs="Times New Roman"/>
          <w:b/>
          <w:lang w:val="en-ID"/>
        </w:rPr>
      </w:pPr>
      <w:r w:rsidRPr="00B24452">
        <w:rPr>
          <w:rFonts w:ascii="Book Antiqua" w:hAnsi="Book Antiqua" w:cs="Times New Roman"/>
          <w:b/>
        </w:rPr>
        <w:t>Implications of the Rule of Law and Human Rights Principles on Intelligence Authority</w:t>
      </w:r>
    </w:p>
    <w:p w14:paraId="764BF625" w14:textId="77777777" w:rsidR="00B24452" w:rsidRPr="00B24452" w:rsidRDefault="00B24452" w:rsidP="00B24452">
      <w:pPr>
        <w:spacing w:after="0" w:line="240" w:lineRule="auto"/>
        <w:jc w:val="both"/>
        <w:rPr>
          <w:rFonts w:ascii="Book Antiqua" w:hAnsi="Book Antiqua" w:cs="Times New Roman"/>
          <w:bCs/>
          <w:lang w:val="en-ID"/>
        </w:rPr>
      </w:pPr>
      <w:r w:rsidRPr="00B24452">
        <w:rPr>
          <w:rFonts w:ascii="Book Antiqua" w:hAnsi="Book Antiqua" w:cs="Times New Roman"/>
          <w:bCs/>
          <w:lang w:val="en-ID"/>
        </w:rPr>
        <w:t>The principle of the rule of law, as stipulated in Article 1 paragraph (3) of the 1945 Constitution, states that Indonesia is a state based on law (</w:t>
      </w:r>
      <w:r w:rsidRPr="00B24452">
        <w:rPr>
          <w:rFonts w:ascii="Book Antiqua" w:hAnsi="Book Antiqua" w:cs="Times New Roman"/>
          <w:bCs/>
          <w:i/>
          <w:iCs/>
          <w:lang w:val="en-ID"/>
        </w:rPr>
        <w:t>rechtsstaat</w:t>
      </w:r>
      <w:r w:rsidRPr="00B24452">
        <w:rPr>
          <w:rFonts w:ascii="Book Antiqua" w:hAnsi="Book Antiqua" w:cs="Times New Roman"/>
          <w:bCs/>
          <w:lang w:val="en-ID"/>
        </w:rPr>
        <w:t>), not a state based on power (</w:t>
      </w:r>
      <w:r w:rsidRPr="00B24452">
        <w:rPr>
          <w:rFonts w:ascii="Book Antiqua" w:hAnsi="Book Antiqua" w:cs="Times New Roman"/>
          <w:bCs/>
          <w:i/>
          <w:iCs/>
          <w:lang w:val="en-ID"/>
        </w:rPr>
        <w:t>machtsstaat</w:t>
      </w:r>
      <w:r w:rsidRPr="00B24452">
        <w:rPr>
          <w:rFonts w:ascii="Book Antiqua" w:hAnsi="Book Antiqua" w:cs="Times New Roman"/>
          <w:bCs/>
          <w:lang w:val="en-ID"/>
        </w:rPr>
        <w:t>). Consequently, every authority exercised by state institutions, including the State Intelligence Agency (BIN), must have a clear, proportional, and accountable legal basis. In the context of intelligence authority, this means that all actions taken must adhere to the principles of legality, the supremacy of law, and respect for human rights (Asshiddiqie, 2005; Hadjon, 2007).</w:t>
      </w:r>
    </w:p>
    <w:p w14:paraId="5B2EE599" w14:textId="14963A39" w:rsidR="00B24452" w:rsidRPr="00B24452" w:rsidRDefault="00B24452" w:rsidP="00B24452">
      <w:pPr>
        <w:spacing w:after="0" w:line="240" w:lineRule="auto"/>
        <w:ind w:firstLine="567"/>
        <w:jc w:val="both"/>
        <w:rPr>
          <w:rFonts w:ascii="Book Antiqua" w:hAnsi="Book Antiqua" w:cs="Times New Roman"/>
          <w:bCs/>
          <w:lang w:val="en-ID"/>
        </w:rPr>
      </w:pPr>
      <w:r w:rsidRPr="00B24452">
        <w:rPr>
          <w:rFonts w:ascii="Book Antiqua" w:hAnsi="Book Antiqua" w:cs="Times New Roman"/>
          <w:bCs/>
          <w:lang w:val="en-ID"/>
        </w:rPr>
        <w:t>The implications of the rule of law on intelligence authority are evident in three main aspects. First, intelligence authority must be based on law. Without a clear legal foundation, any intelligence activity may be considered arbitrary and unconstitutional. Second, intelligence authority must operate within legal limits and may not exceed the scope of power defined by law. Third, intelligence authority must be subject to oversight mechanisms, both by the legislative body and independent institutions, to prevent deviations from democratic principles (Widjajanto, Lay</w:t>
      </w:r>
      <w:r w:rsidR="00090796">
        <w:rPr>
          <w:rFonts w:ascii="Book Antiqua" w:hAnsi="Book Antiqua" w:cs="Times New Roman"/>
          <w:bCs/>
          <w:lang w:val="en-ID"/>
        </w:rPr>
        <w:t xml:space="preserve">, </w:t>
      </w:r>
      <w:r w:rsidRPr="00B24452">
        <w:rPr>
          <w:rFonts w:ascii="Book Antiqua" w:hAnsi="Book Antiqua" w:cs="Times New Roman"/>
          <w:bCs/>
          <w:lang w:val="en-ID"/>
        </w:rPr>
        <w:t>&amp; Keliat, 2006).</w:t>
      </w:r>
    </w:p>
    <w:p w14:paraId="312AF7AC" w14:textId="77777777" w:rsidR="00B24452" w:rsidRPr="00B24452" w:rsidRDefault="00B24452" w:rsidP="00B24452">
      <w:pPr>
        <w:spacing w:after="0" w:line="240" w:lineRule="auto"/>
        <w:ind w:firstLine="567"/>
        <w:jc w:val="both"/>
        <w:rPr>
          <w:rFonts w:ascii="Book Antiqua" w:hAnsi="Book Antiqua" w:cs="Times New Roman"/>
          <w:bCs/>
          <w:lang w:val="en-ID"/>
        </w:rPr>
      </w:pPr>
      <w:r w:rsidRPr="00B24452">
        <w:rPr>
          <w:rFonts w:ascii="Book Antiqua" w:hAnsi="Book Antiqua" w:cs="Times New Roman"/>
          <w:bCs/>
          <w:lang w:val="en-ID"/>
        </w:rPr>
        <w:t>Meanwhile, human rights principles are also an integral part of Indonesia’s Constitution. Articles 28A through 28J of the 1945 Constitution comprehensively regulate the fundamental rights of citizens, including the right to life, the right to privacy, the right to freedom of expression, and the right to security. Therefore, intelligence authority must not be exercised in ways that violate human rights. On the contrary, its implementation must strike a balance between the need to safeguard national security and the protection of citizens’ constitutional rights (Santoso, 2001; Muladi, 2004).</w:t>
      </w:r>
    </w:p>
    <w:p w14:paraId="586C5A33" w14:textId="77777777" w:rsidR="00B24452" w:rsidRPr="00B24452" w:rsidRDefault="00B24452" w:rsidP="00B24452">
      <w:pPr>
        <w:spacing w:after="0" w:line="240" w:lineRule="auto"/>
        <w:ind w:firstLine="567"/>
        <w:jc w:val="both"/>
        <w:rPr>
          <w:rFonts w:ascii="Book Antiqua" w:hAnsi="Book Antiqua" w:cs="Times New Roman"/>
          <w:bCs/>
          <w:lang w:val="en-ID"/>
        </w:rPr>
      </w:pPr>
      <w:r w:rsidRPr="00B24452">
        <w:rPr>
          <w:rFonts w:ascii="Book Antiqua" w:hAnsi="Book Antiqua" w:cs="Times New Roman"/>
          <w:bCs/>
          <w:lang w:val="en-ID"/>
        </w:rPr>
        <w:t>In practice, a recurring problem is the tension between security needs and human rights protection. For example, BIN’s authority to conduct wiretapping, financial transaction monitoring, or counterintelligence operations often draws criticism for threatening citizens’ right to privacy. Although these powers have a legal basis under Law No. 17 of 2011, they must still be exercised with regard to human rights principles such as proportionality, accountability, and transparency (Djafar, 2012; MKRI, 2012).</w:t>
      </w:r>
    </w:p>
    <w:p w14:paraId="4FCD32C3" w14:textId="77777777" w:rsidR="00B24452" w:rsidRPr="00B24452" w:rsidRDefault="00B24452" w:rsidP="00B24452">
      <w:pPr>
        <w:spacing w:after="0" w:line="240" w:lineRule="auto"/>
        <w:ind w:firstLine="567"/>
        <w:jc w:val="both"/>
        <w:rPr>
          <w:rFonts w:ascii="Book Antiqua" w:hAnsi="Book Antiqua" w:cs="Times New Roman"/>
          <w:bCs/>
          <w:lang w:val="en-ID"/>
        </w:rPr>
      </w:pPr>
      <w:r w:rsidRPr="00B24452">
        <w:rPr>
          <w:rFonts w:ascii="Book Antiqua" w:hAnsi="Book Antiqua" w:cs="Times New Roman"/>
          <w:bCs/>
          <w:lang w:val="en-ID"/>
        </w:rPr>
        <w:t xml:space="preserve">Furthermore, the rule of law requires oversight mechanisms for the execution of intelligence authority. In Indonesia, oversight of BIN is conducted by the President and the House of Representatives (DPR) through Commission I. However, this mechanism is still </w:t>
      </w:r>
      <w:r w:rsidRPr="00B24452">
        <w:rPr>
          <w:rFonts w:ascii="Book Antiqua" w:hAnsi="Book Antiqua" w:cs="Times New Roman"/>
          <w:bCs/>
          <w:lang w:val="en-ID"/>
        </w:rPr>
        <w:lastRenderedPageBreak/>
        <w:t>considered weak, as DPR’s oversight tends to be political rather than substantive with respect to intelligence operations. Therefore, from a rule-of-law perspective, the establishment of an independent oversight body is necessary to ensure that BIN operates in accordance with the law and does not violate human rights (Lowenthal, 2009; Johnson, 2019).</w:t>
      </w:r>
    </w:p>
    <w:p w14:paraId="0E2153AF" w14:textId="77777777" w:rsidR="00B24452" w:rsidRPr="00B24452" w:rsidRDefault="00B24452" w:rsidP="00B24452">
      <w:pPr>
        <w:spacing w:after="0" w:line="240" w:lineRule="auto"/>
        <w:ind w:firstLine="567"/>
        <w:jc w:val="both"/>
        <w:rPr>
          <w:rFonts w:ascii="Book Antiqua" w:hAnsi="Book Antiqua" w:cs="Times New Roman"/>
          <w:bCs/>
          <w:lang w:val="en-ID"/>
        </w:rPr>
      </w:pPr>
      <w:r w:rsidRPr="00B24452">
        <w:rPr>
          <w:rFonts w:ascii="Book Antiqua" w:hAnsi="Book Antiqua" w:cs="Times New Roman"/>
          <w:bCs/>
          <w:lang w:val="en-ID"/>
        </w:rPr>
        <w:t>Another implication of the rule of law is the need for legal certainty in defining threats to national security. Law No. 17 of 2011 defines threats too broadly, which risks multiple interpretations and potential abuse. This contradicts the principle of legality, which requires legal norms to be clear, firm, and unambiguous (Asshiddiqie, 2005; Hadjon, 2007).</w:t>
      </w:r>
    </w:p>
    <w:p w14:paraId="2F94292E" w14:textId="77777777" w:rsidR="00B24452" w:rsidRPr="00B24452" w:rsidRDefault="00B24452" w:rsidP="00B24452">
      <w:pPr>
        <w:spacing w:after="0" w:line="240" w:lineRule="auto"/>
        <w:ind w:firstLine="567"/>
        <w:jc w:val="both"/>
        <w:rPr>
          <w:rFonts w:ascii="Book Antiqua" w:hAnsi="Book Antiqua" w:cs="Times New Roman"/>
          <w:bCs/>
          <w:lang w:val="en-ID"/>
        </w:rPr>
      </w:pPr>
      <w:r w:rsidRPr="00B24452">
        <w:rPr>
          <w:rFonts w:ascii="Book Antiqua" w:hAnsi="Book Antiqua" w:cs="Times New Roman"/>
          <w:bCs/>
          <w:lang w:val="en-ID"/>
        </w:rPr>
        <w:t>In comparative perspective, many democratic countries have established legal mechanisms to ensure that intelligence authority does not conflict with human rights. In the United States, for instance, wiretapping may only be conducted with court authorization through the Foreign Intelligence Surveillance Act (FISA) Court. In the United Kingdom, the Investigatory Powers Act 2016 strictly regulates surveillance oversight by involving an independent investigatory court. In Australia, intelligence oversight is carried out by the Inspector-General of Intelligence and Security (IGIS), an independent body with the authority to audit all intelligence activities. These mechanisms demonstrate a balanced application of rule-of-law and human rights principles (Lowenthal, 2009; ISC UK, 2020; ASIO Act 1979).</w:t>
      </w:r>
    </w:p>
    <w:p w14:paraId="5508B0B5" w14:textId="77777777" w:rsidR="00090796" w:rsidRDefault="00B24452" w:rsidP="00B24452">
      <w:pPr>
        <w:spacing w:after="0" w:line="240" w:lineRule="auto"/>
        <w:ind w:firstLine="567"/>
        <w:jc w:val="both"/>
        <w:rPr>
          <w:rFonts w:ascii="Book Antiqua" w:hAnsi="Book Antiqua" w:cs="Times New Roman"/>
          <w:bCs/>
          <w:lang w:val="en-ID"/>
        </w:rPr>
      </w:pPr>
      <w:r w:rsidRPr="00B24452">
        <w:rPr>
          <w:rFonts w:ascii="Book Antiqua" w:hAnsi="Book Antiqua" w:cs="Times New Roman"/>
          <w:bCs/>
          <w:lang w:val="en-ID"/>
        </w:rPr>
        <w:t>Thus, the implications of the rule of law and human rights principles for intelligence authority in Indonesia can be summarized as follows:</w:t>
      </w:r>
    </w:p>
    <w:p w14:paraId="53486201" w14:textId="77777777" w:rsidR="00090796" w:rsidRPr="00090796" w:rsidRDefault="00B24452" w:rsidP="00090796">
      <w:pPr>
        <w:pStyle w:val="ListParagraph"/>
        <w:numPr>
          <w:ilvl w:val="0"/>
          <w:numId w:val="30"/>
        </w:numPr>
        <w:ind w:left="284" w:hanging="284"/>
        <w:jc w:val="both"/>
        <w:rPr>
          <w:rFonts w:ascii="Book Antiqua" w:hAnsi="Book Antiqua"/>
          <w:bCs/>
          <w:sz w:val="22"/>
          <w:szCs w:val="22"/>
          <w:lang w:val="en-ID"/>
        </w:rPr>
      </w:pPr>
      <w:r w:rsidRPr="00090796">
        <w:rPr>
          <w:rFonts w:ascii="Book Antiqua" w:hAnsi="Book Antiqua"/>
          <w:bCs/>
          <w:sz w:val="22"/>
          <w:szCs w:val="22"/>
          <w:lang w:val="en-ID"/>
        </w:rPr>
        <w:t>Intelligence authority must have a clear and unambiguous legal basis.</w:t>
      </w:r>
    </w:p>
    <w:p w14:paraId="1CDE619D" w14:textId="77777777" w:rsidR="00090796" w:rsidRPr="00090796" w:rsidRDefault="00B24452" w:rsidP="00090796">
      <w:pPr>
        <w:pStyle w:val="ListParagraph"/>
        <w:numPr>
          <w:ilvl w:val="0"/>
          <w:numId w:val="30"/>
        </w:numPr>
        <w:ind w:left="284" w:hanging="284"/>
        <w:jc w:val="both"/>
        <w:rPr>
          <w:rFonts w:ascii="Book Antiqua" w:hAnsi="Book Antiqua"/>
          <w:bCs/>
          <w:sz w:val="22"/>
          <w:szCs w:val="22"/>
          <w:lang w:val="en-ID"/>
        </w:rPr>
      </w:pPr>
      <w:r w:rsidRPr="00090796">
        <w:rPr>
          <w:rFonts w:ascii="Book Antiqua" w:hAnsi="Book Antiqua"/>
          <w:bCs/>
          <w:sz w:val="22"/>
          <w:szCs w:val="22"/>
          <w:lang w:val="en-ID"/>
        </w:rPr>
        <w:t>Intelligence authority must be limited by law to ensure compliance with rule-of-law principles</w:t>
      </w:r>
      <w:r w:rsidR="00090796" w:rsidRPr="00090796">
        <w:rPr>
          <w:rFonts w:ascii="Book Antiqua" w:hAnsi="Book Antiqua"/>
          <w:bCs/>
          <w:sz w:val="22"/>
          <w:szCs w:val="22"/>
          <w:lang w:val="en-ID"/>
        </w:rPr>
        <w:t>.</w:t>
      </w:r>
    </w:p>
    <w:p w14:paraId="1307D904" w14:textId="77777777" w:rsidR="00090796" w:rsidRPr="00090796" w:rsidRDefault="00B24452" w:rsidP="00090796">
      <w:pPr>
        <w:pStyle w:val="ListParagraph"/>
        <w:numPr>
          <w:ilvl w:val="0"/>
          <w:numId w:val="30"/>
        </w:numPr>
        <w:ind w:left="284" w:hanging="284"/>
        <w:jc w:val="both"/>
        <w:rPr>
          <w:rFonts w:ascii="Book Antiqua" w:hAnsi="Book Antiqua"/>
          <w:bCs/>
          <w:sz w:val="22"/>
          <w:szCs w:val="22"/>
          <w:lang w:val="en-ID"/>
        </w:rPr>
      </w:pPr>
      <w:r w:rsidRPr="00090796">
        <w:rPr>
          <w:rFonts w:ascii="Book Antiqua" w:hAnsi="Book Antiqua"/>
          <w:bCs/>
          <w:sz w:val="22"/>
          <w:szCs w:val="22"/>
          <w:lang w:val="en-ID"/>
        </w:rPr>
        <w:t>Intelligence authority must be subject to effective and independent oversight mechanisms</w:t>
      </w:r>
      <w:r w:rsidR="00090796" w:rsidRPr="00090796">
        <w:rPr>
          <w:rFonts w:ascii="Book Antiqua" w:hAnsi="Book Antiqua"/>
          <w:bCs/>
          <w:sz w:val="22"/>
          <w:szCs w:val="22"/>
          <w:lang w:val="en-ID"/>
        </w:rPr>
        <w:t>.</w:t>
      </w:r>
    </w:p>
    <w:p w14:paraId="7CC80C01" w14:textId="77777777" w:rsidR="00090796" w:rsidRPr="00090796" w:rsidRDefault="00B24452" w:rsidP="00090796">
      <w:pPr>
        <w:pStyle w:val="ListParagraph"/>
        <w:numPr>
          <w:ilvl w:val="0"/>
          <w:numId w:val="30"/>
        </w:numPr>
        <w:ind w:left="284" w:hanging="284"/>
        <w:jc w:val="both"/>
        <w:rPr>
          <w:rFonts w:ascii="Book Antiqua" w:hAnsi="Book Antiqua"/>
          <w:bCs/>
          <w:sz w:val="22"/>
          <w:szCs w:val="22"/>
          <w:lang w:val="en-ID"/>
        </w:rPr>
      </w:pPr>
      <w:r w:rsidRPr="00090796">
        <w:rPr>
          <w:rFonts w:ascii="Book Antiqua" w:hAnsi="Book Antiqua"/>
          <w:bCs/>
          <w:sz w:val="22"/>
          <w:szCs w:val="22"/>
          <w:lang w:val="en-ID"/>
        </w:rPr>
        <w:t>Intelligence authority must respect human rights, particularly the rights to privacy, freedom of expression, and personal security.</w:t>
      </w:r>
    </w:p>
    <w:p w14:paraId="0472C528" w14:textId="7B6A33C2" w:rsidR="00796F02" w:rsidRDefault="00B24452" w:rsidP="009B2C05">
      <w:pPr>
        <w:pStyle w:val="ListParagraph"/>
        <w:numPr>
          <w:ilvl w:val="0"/>
          <w:numId w:val="30"/>
        </w:numPr>
        <w:ind w:left="284" w:hanging="284"/>
        <w:jc w:val="both"/>
        <w:rPr>
          <w:rFonts w:ascii="Book Antiqua" w:hAnsi="Book Antiqua"/>
          <w:bCs/>
          <w:sz w:val="22"/>
          <w:szCs w:val="22"/>
          <w:lang w:val="en-ID"/>
        </w:rPr>
      </w:pPr>
      <w:r w:rsidRPr="00090796">
        <w:rPr>
          <w:rFonts w:ascii="Book Antiqua" w:hAnsi="Book Antiqua"/>
          <w:bCs/>
          <w:sz w:val="22"/>
          <w:szCs w:val="22"/>
          <w:lang w:val="en-ID"/>
        </w:rPr>
        <w:t>The definition of threats must be clearly and precisely formulated to prevent misuse of authority.</w:t>
      </w:r>
    </w:p>
    <w:p w14:paraId="11A90B08" w14:textId="77777777" w:rsidR="009B2C05" w:rsidRPr="009B2C05" w:rsidRDefault="009B2C05" w:rsidP="009B2C05">
      <w:pPr>
        <w:pStyle w:val="ListParagraph"/>
        <w:ind w:left="284"/>
        <w:jc w:val="both"/>
        <w:rPr>
          <w:rFonts w:ascii="Book Antiqua" w:hAnsi="Book Antiqua"/>
          <w:bCs/>
          <w:sz w:val="22"/>
          <w:szCs w:val="22"/>
          <w:lang w:val="en-ID"/>
        </w:rPr>
      </w:pPr>
    </w:p>
    <w:p w14:paraId="6BC09047" w14:textId="2563855A" w:rsidR="009B2C05" w:rsidRPr="009B2C05" w:rsidRDefault="009B2C05" w:rsidP="009B2C05">
      <w:pPr>
        <w:spacing w:after="0" w:line="240" w:lineRule="auto"/>
        <w:jc w:val="center"/>
        <w:rPr>
          <w:rFonts w:ascii="Book Antiqua" w:hAnsi="Book Antiqua" w:cs="Times New Roman"/>
          <w:sz w:val="20"/>
          <w:szCs w:val="20"/>
          <w:lang w:val="en-ID"/>
        </w:rPr>
      </w:pPr>
      <w:r w:rsidRPr="009B2C05">
        <w:rPr>
          <w:rFonts w:ascii="Book Antiqua" w:hAnsi="Book Antiqua" w:cs="Times New Roman"/>
          <w:b/>
          <w:bCs/>
          <w:sz w:val="20"/>
          <w:szCs w:val="20"/>
          <w:lang w:val="en-ID"/>
        </w:rPr>
        <w:t xml:space="preserve">Table 2. </w:t>
      </w:r>
      <w:r w:rsidRPr="009B2C05">
        <w:rPr>
          <w:rFonts w:ascii="Book Antiqua" w:hAnsi="Book Antiqua" w:cs="Times New Roman"/>
          <w:sz w:val="20"/>
          <w:szCs w:val="20"/>
          <w:lang w:val="en-ID"/>
        </w:rPr>
        <w:t>Relationship between the legal vacuum problem and the implications of the rule of law and human rights principles on intelligence authority</w:t>
      </w:r>
    </w:p>
    <w:tbl>
      <w:tblPr>
        <w:tblW w:w="0" w:type="auto"/>
        <w:tblCellSpacing w:w="15"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1590"/>
        <w:gridCol w:w="4290"/>
        <w:gridCol w:w="3570"/>
      </w:tblGrid>
      <w:tr w:rsidR="009B2C05" w:rsidRPr="009B2C05" w14:paraId="585E2B17" w14:textId="77777777" w:rsidTr="009B2C05">
        <w:trPr>
          <w:tblHeader/>
          <w:tblCellSpacing w:w="15" w:type="dxa"/>
        </w:trPr>
        <w:tc>
          <w:tcPr>
            <w:tcW w:w="0" w:type="auto"/>
            <w:vAlign w:val="center"/>
            <w:hideMark/>
          </w:tcPr>
          <w:p w14:paraId="556BD413" w14:textId="77777777" w:rsidR="009B2C05" w:rsidRPr="009B2C05" w:rsidRDefault="009B2C05" w:rsidP="009B2C05">
            <w:pPr>
              <w:spacing w:after="0" w:line="240" w:lineRule="auto"/>
              <w:jc w:val="center"/>
              <w:rPr>
                <w:rFonts w:ascii="Book Antiqua" w:hAnsi="Book Antiqua" w:cs="Times New Roman"/>
                <w:b/>
                <w:bCs/>
                <w:sz w:val="20"/>
                <w:szCs w:val="20"/>
                <w:lang w:val="en-ID"/>
              </w:rPr>
            </w:pPr>
            <w:r w:rsidRPr="009B2C05">
              <w:rPr>
                <w:rFonts w:ascii="Book Antiqua" w:hAnsi="Book Antiqua" w:cs="Times New Roman"/>
                <w:b/>
                <w:bCs/>
                <w:sz w:val="20"/>
                <w:szCs w:val="20"/>
                <w:lang w:val="en-ID"/>
              </w:rPr>
              <w:t>Aspect</w:t>
            </w:r>
          </w:p>
        </w:tc>
        <w:tc>
          <w:tcPr>
            <w:tcW w:w="0" w:type="auto"/>
            <w:vAlign w:val="center"/>
            <w:hideMark/>
          </w:tcPr>
          <w:p w14:paraId="24B3C67A" w14:textId="77777777" w:rsidR="009B2C05" w:rsidRPr="009B2C05" w:rsidRDefault="009B2C05" w:rsidP="009B2C05">
            <w:pPr>
              <w:spacing w:after="0" w:line="240" w:lineRule="auto"/>
              <w:jc w:val="center"/>
              <w:rPr>
                <w:rFonts w:ascii="Book Antiqua" w:hAnsi="Book Antiqua" w:cs="Times New Roman"/>
                <w:b/>
                <w:bCs/>
                <w:sz w:val="20"/>
                <w:szCs w:val="20"/>
                <w:lang w:val="en-ID"/>
              </w:rPr>
            </w:pPr>
            <w:r w:rsidRPr="009B2C05">
              <w:rPr>
                <w:rFonts w:ascii="Book Antiqua" w:hAnsi="Book Antiqua" w:cs="Times New Roman"/>
                <w:b/>
                <w:bCs/>
                <w:sz w:val="20"/>
                <w:szCs w:val="20"/>
                <w:lang w:val="en-ID"/>
              </w:rPr>
              <w:t>Emerging Problems</w:t>
            </w:r>
          </w:p>
        </w:tc>
        <w:tc>
          <w:tcPr>
            <w:tcW w:w="0" w:type="auto"/>
            <w:vAlign w:val="center"/>
            <w:hideMark/>
          </w:tcPr>
          <w:p w14:paraId="1FD20D8A" w14:textId="77777777" w:rsidR="009B2C05" w:rsidRPr="009B2C05" w:rsidRDefault="009B2C05" w:rsidP="009B2C05">
            <w:pPr>
              <w:spacing w:after="0" w:line="240" w:lineRule="auto"/>
              <w:jc w:val="center"/>
              <w:rPr>
                <w:rFonts w:ascii="Book Antiqua" w:hAnsi="Book Antiqua" w:cs="Times New Roman"/>
                <w:b/>
                <w:bCs/>
                <w:sz w:val="20"/>
                <w:szCs w:val="20"/>
                <w:lang w:val="en-ID"/>
              </w:rPr>
            </w:pPr>
            <w:r w:rsidRPr="009B2C05">
              <w:rPr>
                <w:rFonts w:ascii="Book Antiqua" w:hAnsi="Book Antiqua" w:cs="Times New Roman"/>
                <w:b/>
                <w:bCs/>
                <w:sz w:val="20"/>
                <w:szCs w:val="20"/>
                <w:lang w:val="en-ID"/>
              </w:rPr>
              <w:t>Implications for BIN’s Authority</w:t>
            </w:r>
          </w:p>
        </w:tc>
      </w:tr>
      <w:tr w:rsidR="009B2C05" w:rsidRPr="009B2C05" w14:paraId="1595E13D" w14:textId="77777777" w:rsidTr="009B2C05">
        <w:trPr>
          <w:tblCellSpacing w:w="15" w:type="dxa"/>
        </w:trPr>
        <w:tc>
          <w:tcPr>
            <w:tcW w:w="0" w:type="auto"/>
            <w:tcBorders>
              <w:top w:val="single" w:sz="4" w:space="0" w:color="auto"/>
              <w:bottom w:val="nil"/>
            </w:tcBorders>
            <w:vAlign w:val="center"/>
            <w:hideMark/>
          </w:tcPr>
          <w:p w14:paraId="2FA807E5" w14:textId="77777777" w:rsidR="009B2C05" w:rsidRPr="009B2C05" w:rsidRDefault="009B2C05" w:rsidP="009B2C05">
            <w:pPr>
              <w:spacing w:after="0" w:line="240" w:lineRule="auto"/>
              <w:jc w:val="both"/>
              <w:rPr>
                <w:rFonts w:ascii="Book Antiqua" w:hAnsi="Book Antiqua" w:cs="Times New Roman"/>
                <w:sz w:val="20"/>
                <w:szCs w:val="20"/>
                <w:lang w:val="en-ID"/>
              </w:rPr>
            </w:pPr>
            <w:r w:rsidRPr="009B2C05">
              <w:rPr>
                <w:rFonts w:ascii="Book Antiqua" w:hAnsi="Book Antiqua" w:cs="Times New Roman"/>
                <w:sz w:val="20"/>
                <w:szCs w:val="20"/>
                <w:lang w:val="en-ID"/>
              </w:rPr>
              <w:t>Legal Basis</w:t>
            </w:r>
          </w:p>
        </w:tc>
        <w:tc>
          <w:tcPr>
            <w:tcW w:w="0" w:type="auto"/>
            <w:tcBorders>
              <w:top w:val="single" w:sz="4" w:space="0" w:color="auto"/>
              <w:bottom w:val="nil"/>
            </w:tcBorders>
            <w:vAlign w:val="center"/>
            <w:hideMark/>
          </w:tcPr>
          <w:p w14:paraId="5C439D4D" w14:textId="77777777" w:rsidR="009B2C05" w:rsidRPr="009B2C05" w:rsidRDefault="009B2C05" w:rsidP="009B2C05">
            <w:pPr>
              <w:spacing w:after="0" w:line="240" w:lineRule="auto"/>
              <w:jc w:val="both"/>
              <w:rPr>
                <w:rFonts w:ascii="Book Antiqua" w:hAnsi="Book Antiqua" w:cs="Times New Roman"/>
                <w:sz w:val="20"/>
                <w:szCs w:val="20"/>
                <w:lang w:val="en-ID"/>
              </w:rPr>
            </w:pPr>
            <w:r w:rsidRPr="009B2C05">
              <w:rPr>
                <w:rFonts w:ascii="Book Antiqua" w:hAnsi="Book Antiqua" w:cs="Times New Roman"/>
                <w:sz w:val="20"/>
                <w:szCs w:val="20"/>
                <w:lang w:val="en-ID"/>
              </w:rPr>
              <w:t xml:space="preserve">Absence of a National Security Law as </w:t>
            </w:r>
            <w:r w:rsidRPr="009B2C05">
              <w:rPr>
                <w:rFonts w:ascii="Book Antiqua" w:hAnsi="Book Antiqua" w:cs="Times New Roman"/>
                <w:i/>
                <w:iCs/>
                <w:sz w:val="20"/>
                <w:szCs w:val="20"/>
                <w:lang w:val="en-ID"/>
              </w:rPr>
              <w:t>lex generalis</w:t>
            </w:r>
            <w:r w:rsidRPr="009B2C05">
              <w:rPr>
                <w:rFonts w:ascii="Book Antiqua" w:hAnsi="Book Antiqua" w:cs="Times New Roman"/>
                <w:sz w:val="20"/>
                <w:szCs w:val="20"/>
                <w:lang w:val="en-ID"/>
              </w:rPr>
              <w:t>, with only sectoral laws (TNI, Police, BIN).</w:t>
            </w:r>
          </w:p>
        </w:tc>
        <w:tc>
          <w:tcPr>
            <w:tcW w:w="0" w:type="auto"/>
            <w:tcBorders>
              <w:top w:val="single" w:sz="4" w:space="0" w:color="auto"/>
              <w:bottom w:val="nil"/>
            </w:tcBorders>
            <w:vAlign w:val="center"/>
            <w:hideMark/>
          </w:tcPr>
          <w:p w14:paraId="28F68D42" w14:textId="77777777" w:rsidR="009B2C05" w:rsidRPr="009B2C05" w:rsidRDefault="009B2C05" w:rsidP="009B2C05">
            <w:pPr>
              <w:spacing w:after="0" w:line="240" w:lineRule="auto"/>
              <w:jc w:val="both"/>
              <w:rPr>
                <w:rFonts w:ascii="Book Antiqua" w:hAnsi="Book Antiqua" w:cs="Times New Roman"/>
                <w:sz w:val="20"/>
                <w:szCs w:val="20"/>
                <w:lang w:val="en-ID"/>
              </w:rPr>
            </w:pPr>
            <w:r w:rsidRPr="009B2C05">
              <w:rPr>
                <w:rFonts w:ascii="Book Antiqua" w:hAnsi="Book Antiqua" w:cs="Times New Roman"/>
                <w:sz w:val="20"/>
                <w:szCs w:val="20"/>
                <w:lang w:val="en-ID"/>
              </w:rPr>
              <w:t>BIN’s authority operates without a comprehensive legal framework; weak legal legitimacy.</w:t>
            </w:r>
          </w:p>
        </w:tc>
      </w:tr>
      <w:tr w:rsidR="009B2C05" w:rsidRPr="009B2C05" w14:paraId="7BBE9C0D" w14:textId="77777777" w:rsidTr="009B2C05">
        <w:trPr>
          <w:tblCellSpacing w:w="15" w:type="dxa"/>
        </w:trPr>
        <w:tc>
          <w:tcPr>
            <w:tcW w:w="0" w:type="auto"/>
            <w:vAlign w:val="center"/>
            <w:hideMark/>
          </w:tcPr>
          <w:p w14:paraId="31EEA6D8" w14:textId="77777777" w:rsidR="009B2C05" w:rsidRPr="009B2C05" w:rsidRDefault="009B2C05" w:rsidP="009B2C05">
            <w:pPr>
              <w:spacing w:after="0" w:line="240" w:lineRule="auto"/>
              <w:jc w:val="both"/>
              <w:rPr>
                <w:rFonts w:ascii="Book Antiqua" w:hAnsi="Book Antiqua" w:cs="Times New Roman"/>
                <w:sz w:val="20"/>
                <w:szCs w:val="20"/>
                <w:lang w:val="en-ID"/>
              </w:rPr>
            </w:pPr>
            <w:r w:rsidRPr="009B2C05">
              <w:rPr>
                <w:rFonts w:ascii="Book Antiqua" w:hAnsi="Book Antiqua" w:cs="Times New Roman"/>
                <w:sz w:val="20"/>
                <w:szCs w:val="20"/>
                <w:lang w:val="en-ID"/>
              </w:rPr>
              <w:t>Institutional</w:t>
            </w:r>
          </w:p>
        </w:tc>
        <w:tc>
          <w:tcPr>
            <w:tcW w:w="0" w:type="auto"/>
            <w:vAlign w:val="center"/>
            <w:hideMark/>
          </w:tcPr>
          <w:p w14:paraId="2B838376" w14:textId="77777777" w:rsidR="009B2C05" w:rsidRPr="009B2C05" w:rsidRDefault="009B2C05" w:rsidP="009B2C05">
            <w:pPr>
              <w:spacing w:after="0" w:line="240" w:lineRule="auto"/>
              <w:jc w:val="both"/>
              <w:rPr>
                <w:rFonts w:ascii="Book Antiqua" w:hAnsi="Book Antiqua" w:cs="Times New Roman"/>
                <w:sz w:val="20"/>
                <w:szCs w:val="20"/>
                <w:lang w:val="en-ID"/>
              </w:rPr>
            </w:pPr>
            <w:r w:rsidRPr="009B2C05">
              <w:rPr>
                <w:rFonts w:ascii="Book Antiqua" w:hAnsi="Book Antiqua" w:cs="Times New Roman"/>
                <w:sz w:val="20"/>
                <w:szCs w:val="20"/>
                <w:lang w:val="en-ID"/>
              </w:rPr>
              <w:t>BIN, BAIS TNI, police intelligence, and sectoral intelligence work without integrated coordination.</w:t>
            </w:r>
          </w:p>
        </w:tc>
        <w:tc>
          <w:tcPr>
            <w:tcW w:w="0" w:type="auto"/>
            <w:vAlign w:val="center"/>
            <w:hideMark/>
          </w:tcPr>
          <w:p w14:paraId="6F571B48" w14:textId="77777777" w:rsidR="009B2C05" w:rsidRPr="009B2C05" w:rsidRDefault="009B2C05" w:rsidP="009B2C05">
            <w:pPr>
              <w:spacing w:after="0" w:line="240" w:lineRule="auto"/>
              <w:jc w:val="both"/>
              <w:rPr>
                <w:rFonts w:ascii="Book Antiqua" w:hAnsi="Book Antiqua" w:cs="Times New Roman"/>
                <w:sz w:val="20"/>
                <w:szCs w:val="20"/>
                <w:lang w:val="en-ID"/>
              </w:rPr>
            </w:pPr>
            <w:r w:rsidRPr="009B2C05">
              <w:rPr>
                <w:rFonts w:ascii="Book Antiqua" w:hAnsi="Book Antiqua" w:cs="Times New Roman"/>
                <w:sz w:val="20"/>
                <w:szCs w:val="20"/>
                <w:lang w:val="en-ID"/>
              </w:rPr>
              <w:t>Overlapping functions, disharmony among institutions, potential conflicts of authority.</w:t>
            </w:r>
          </w:p>
        </w:tc>
      </w:tr>
      <w:tr w:rsidR="009B2C05" w:rsidRPr="009B2C05" w14:paraId="30548A56" w14:textId="77777777" w:rsidTr="009B2C05">
        <w:trPr>
          <w:tblCellSpacing w:w="15" w:type="dxa"/>
        </w:trPr>
        <w:tc>
          <w:tcPr>
            <w:tcW w:w="0" w:type="auto"/>
            <w:vAlign w:val="center"/>
            <w:hideMark/>
          </w:tcPr>
          <w:p w14:paraId="5A75AB83" w14:textId="77777777" w:rsidR="009B2C05" w:rsidRPr="009B2C05" w:rsidRDefault="009B2C05" w:rsidP="009B2C05">
            <w:pPr>
              <w:spacing w:after="0" w:line="240" w:lineRule="auto"/>
              <w:jc w:val="both"/>
              <w:rPr>
                <w:rFonts w:ascii="Book Antiqua" w:hAnsi="Book Antiqua" w:cs="Times New Roman"/>
                <w:sz w:val="20"/>
                <w:szCs w:val="20"/>
                <w:lang w:val="en-ID"/>
              </w:rPr>
            </w:pPr>
            <w:r w:rsidRPr="009B2C05">
              <w:rPr>
                <w:rFonts w:ascii="Book Antiqua" w:hAnsi="Book Antiqua" w:cs="Times New Roman"/>
                <w:sz w:val="20"/>
                <w:szCs w:val="20"/>
                <w:lang w:val="en-ID"/>
              </w:rPr>
              <w:t>Oversight</w:t>
            </w:r>
          </w:p>
        </w:tc>
        <w:tc>
          <w:tcPr>
            <w:tcW w:w="0" w:type="auto"/>
            <w:vAlign w:val="center"/>
            <w:hideMark/>
          </w:tcPr>
          <w:p w14:paraId="6F41A61D" w14:textId="77777777" w:rsidR="009B2C05" w:rsidRPr="009B2C05" w:rsidRDefault="009B2C05" w:rsidP="009B2C05">
            <w:pPr>
              <w:spacing w:after="0" w:line="240" w:lineRule="auto"/>
              <w:jc w:val="both"/>
              <w:rPr>
                <w:rFonts w:ascii="Book Antiqua" w:hAnsi="Book Antiqua" w:cs="Times New Roman"/>
                <w:sz w:val="20"/>
                <w:szCs w:val="20"/>
                <w:lang w:val="en-ID"/>
              </w:rPr>
            </w:pPr>
            <w:r w:rsidRPr="009B2C05">
              <w:rPr>
                <w:rFonts w:ascii="Book Antiqua" w:hAnsi="Book Antiqua" w:cs="Times New Roman"/>
                <w:sz w:val="20"/>
                <w:szCs w:val="20"/>
                <w:lang w:val="en-ID"/>
              </w:rPr>
              <w:t>DPR oversight is political rather than substantive; no independent supervisory body.</w:t>
            </w:r>
          </w:p>
        </w:tc>
        <w:tc>
          <w:tcPr>
            <w:tcW w:w="0" w:type="auto"/>
            <w:vAlign w:val="center"/>
            <w:hideMark/>
          </w:tcPr>
          <w:p w14:paraId="448EAB75" w14:textId="77777777" w:rsidR="009B2C05" w:rsidRPr="009B2C05" w:rsidRDefault="009B2C05" w:rsidP="009B2C05">
            <w:pPr>
              <w:spacing w:after="0" w:line="240" w:lineRule="auto"/>
              <w:jc w:val="both"/>
              <w:rPr>
                <w:rFonts w:ascii="Book Antiqua" w:hAnsi="Book Antiqua" w:cs="Times New Roman"/>
                <w:sz w:val="20"/>
                <w:szCs w:val="20"/>
                <w:lang w:val="en-ID"/>
              </w:rPr>
            </w:pPr>
            <w:r w:rsidRPr="009B2C05">
              <w:rPr>
                <w:rFonts w:ascii="Book Antiqua" w:hAnsi="Book Antiqua" w:cs="Times New Roman"/>
                <w:sz w:val="20"/>
                <w:szCs w:val="20"/>
                <w:lang w:val="en-ID"/>
              </w:rPr>
              <w:t>Weak accountability of BIN, potential for arbitrary actions.</w:t>
            </w:r>
          </w:p>
        </w:tc>
      </w:tr>
      <w:tr w:rsidR="009B2C05" w:rsidRPr="009B2C05" w14:paraId="47C143D2" w14:textId="77777777" w:rsidTr="009B2C05">
        <w:trPr>
          <w:tblCellSpacing w:w="15" w:type="dxa"/>
        </w:trPr>
        <w:tc>
          <w:tcPr>
            <w:tcW w:w="0" w:type="auto"/>
            <w:vAlign w:val="center"/>
            <w:hideMark/>
          </w:tcPr>
          <w:p w14:paraId="364BCF1F" w14:textId="77777777" w:rsidR="009B2C05" w:rsidRPr="009B2C05" w:rsidRDefault="009B2C05" w:rsidP="009B2C05">
            <w:pPr>
              <w:spacing w:after="0" w:line="240" w:lineRule="auto"/>
              <w:jc w:val="both"/>
              <w:rPr>
                <w:rFonts w:ascii="Book Antiqua" w:hAnsi="Book Antiqua" w:cs="Times New Roman"/>
                <w:sz w:val="20"/>
                <w:szCs w:val="20"/>
                <w:lang w:val="en-ID"/>
              </w:rPr>
            </w:pPr>
            <w:r w:rsidRPr="009B2C05">
              <w:rPr>
                <w:rFonts w:ascii="Book Antiqua" w:hAnsi="Book Antiqua" w:cs="Times New Roman"/>
                <w:sz w:val="20"/>
                <w:szCs w:val="20"/>
                <w:lang w:val="en-ID"/>
              </w:rPr>
              <w:t>Definition of Threat</w:t>
            </w:r>
          </w:p>
        </w:tc>
        <w:tc>
          <w:tcPr>
            <w:tcW w:w="0" w:type="auto"/>
            <w:vAlign w:val="center"/>
            <w:hideMark/>
          </w:tcPr>
          <w:p w14:paraId="1555B5DA" w14:textId="77777777" w:rsidR="009B2C05" w:rsidRPr="009B2C05" w:rsidRDefault="009B2C05" w:rsidP="009B2C05">
            <w:pPr>
              <w:spacing w:after="0" w:line="240" w:lineRule="auto"/>
              <w:jc w:val="both"/>
              <w:rPr>
                <w:rFonts w:ascii="Book Antiqua" w:hAnsi="Book Antiqua" w:cs="Times New Roman"/>
                <w:sz w:val="20"/>
                <w:szCs w:val="20"/>
                <w:lang w:val="en-ID"/>
              </w:rPr>
            </w:pPr>
            <w:r w:rsidRPr="009B2C05">
              <w:rPr>
                <w:rFonts w:ascii="Book Antiqua" w:hAnsi="Book Antiqua" w:cs="Times New Roman"/>
                <w:sz w:val="20"/>
                <w:szCs w:val="20"/>
                <w:lang w:val="en-ID"/>
              </w:rPr>
              <w:t>Definition of “threat” in Law No. 17/2011 is overly broad and open to multiple interpretations.</w:t>
            </w:r>
          </w:p>
        </w:tc>
        <w:tc>
          <w:tcPr>
            <w:tcW w:w="0" w:type="auto"/>
            <w:vAlign w:val="center"/>
            <w:hideMark/>
          </w:tcPr>
          <w:p w14:paraId="142E1AA7" w14:textId="77777777" w:rsidR="009B2C05" w:rsidRPr="009B2C05" w:rsidRDefault="009B2C05" w:rsidP="009B2C05">
            <w:pPr>
              <w:spacing w:after="0" w:line="240" w:lineRule="auto"/>
              <w:jc w:val="both"/>
              <w:rPr>
                <w:rFonts w:ascii="Book Antiqua" w:hAnsi="Book Antiqua" w:cs="Times New Roman"/>
                <w:sz w:val="20"/>
                <w:szCs w:val="20"/>
                <w:lang w:val="en-ID"/>
              </w:rPr>
            </w:pPr>
            <w:r w:rsidRPr="009B2C05">
              <w:rPr>
                <w:rFonts w:ascii="Book Antiqua" w:hAnsi="Book Antiqua" w:cs="Times New Roman"/>
                <w:sz w:val="20"/>
                <w:szCs w:val="20"/>
                <w:lang w:val="en-ID"/>
              </w:rPr>
              <w:t>Vulnerable to excessive use in restricting civil liberties and human rights.</w:t>
            </w:r>
          </w:p>
        </w:tc>
      </w:tr>
      <w:tr w:rsidR="009B2C05" w:rsidRPr="009B2C05" w14:paraId="2B761482" w14:textId="77777777" w:rsidTr="009B2C05">
        <w:trPr>
          <w:tblCellSpacing w:w="15" w:type="dxa"/>
        </w:trPr>
        <w:tc>
          <w:tcPr>
            <w:tcW w:w="0" w:type="auto"/>
            <w:vAlign w:val="center"/>
            <w:hideMark/>
          </w:tcPr>
          <w:p w14:paraId="5C53B03F" w14:textId="77777777" w:rsidR="009B2C05" w:rsidRPr="009B2C05" w:rsidRDefault="009B2C05" w:rsidP="009B2C05">
            <w:pPr>
              <w:spacing w:after="0" w:line="240" w:lineRule="auto"/>
              <w:jc w:val="both"/>
              <w:rPr>
                <w:rFonts w:ascii="Book Antiqua" w:hAnsi="Book Antiqua" w:cs="Times New Roman"/>
                <w:sz w:val="20"/>
                <w:szCs w:val="20"/>
                <w:lang w:val="en-ID"/>
              </w:rPr>
            </w:pPr>
            <w:r w:rsidRPr="009B2C05">
              <w:rPr>
                <w:rFonts w:ascii="Book Antiqua" w:hAnsi="Book Antiqua" w:cs="Times New Roman"/>
                <w:sz w:val="20"/>
                <w:szCs w:val="20"/>
                <w:lang w:val="en-ID"/>
              </w:rPr>
              <w:t>National Policy</w:t>
            </w:r>
          </w:p>
        </w:tc>
        <w:tc>
          <w:tcPr>
            <w:tcW w:w="0" w:type="auto"/>
            <w:vAlign w:val="center"/>
            <w:hideMark/>
          </w:tcPr>
          <w:p w14:paraId="119D3C61" w14:textId="77777777" w:rsidR="009B2C05" w:rsidRPr="009B2C05" w:rsidRDefault="009B2C05" w:rsidP="009B2C05">
            <w:pPr>
              <w:spacing w:after="0" w:line="240" w:lineRule="auto"/>
              <w:jc w:val="both"/>
              <w:rPr>
                <w:rFonts w:ascii="Book Antiqua" w:hAnsi="Book Antiqua" w:cs="Times New Roman"/>
                <w:sz w:val="20"/>
                <w:szCs w:val="20"/>
                <w:lang w:val="en-ID"/>
              </w:rPr>
            </w:pPr>
            <w:r w:rsidRPr="009B2C05">
              <w:rPr>
                <w:rFonts w:ascii="Book Antiqua" w:hAnsi="Book Antiqua" w:cs="Times New Roman"/>
                <w:sz w:val="20"/>
                <w:szCs w:val="20"/>
                <w:lang w:val="en-ID"/>
              </w:rPr>
              <w:t>No integration of national security policy within a unified legal framework.</w:t>
            </w:r>
          </w:p>
        </w:tc>
        <w:tc>
          <w:tcPr>
            <w:tcW w:w="0" w:type="auto"/>
            <w:vAlign w:val="center"/>
            <w:hideMark/>
          </w:tcPr>
          <w:p w14:paraId="58220065" w14:textId="77777777" w:rsidR="009B2C05" w:rsidRPr="009B2C05" w:rsidRDefault="009B2C05" w:rsidP="009B2C05">
            <w:pPr>
              <w:spacing w:after="0" w:line="240" w:lineRule="auto"/>
              <w:jc w:val="both"/>
              <w:rPr>
                <w:rFonts w:ascii="Book Antiqua" w:hAnsi="Book Antiqua" w:cs="Times New Roman"/>
                <w:sz w:val="20"/>
                <w:szCs w:val="20"/>
                <w:lang w:val="en-ID"/>
              </w:rPr>
            </w:pPr>
            <w:r w:rsidRPr="009B2C05">
              <w:rPr>
                <w:rFonts w:ascii="Book Antiqua" w:hAnsi="Book Antiqua" w:cs="Times New Roman"/>
                <w:sz w:val="20"/>
                <w:szCs w:val="20"/>
                <w:lang w:val="en-ID"/>
              </w:rPr>
              <w:t>Presidential coordination is based only on political policy, not legal certainty.</w:t>
            </w:r>
          </w:p>
        </w:tc>
      </w:tr>
      <w:tr w:rsidR="009B2C05" w:rsidRPr="009B2C05" w14:paraId="725247C0" w14:textId="77777777" w:rsidTr="009B2C05">
        <w:trPr>
          <w:tblCellSpacing w:w="15" w:type="dxa"/>
        </w:trPr>
        <w:tc>
          <w:tcPr>
            <w:tcW w:w="0" w:type="auto"/>
            <w:vAlign w:val="center"/>
            <w:hideMark/>
          </w:tcPr>
          <w:p w14:paraId="6BFD95B1" w14:textId="77777777" w:rsidR="009B2C05" w:rsidRPr="009B2C05" w:rsidRDefault="009B2C05" w:rsidP="009B2C05">
            <w:pPr>
              <w:spacing w:after="0" w:line="240" w:lineRule="auto"/>
              <w:jc w:val="both"/>
              <w:rPr>
                <w:rFonts w:ascii="Book Antiqua" w:hAnsi="Book Antiqua" w:cs="Times New Roman"/>
                <w:sz w:val="20"/>
                <w:szCs w:val="20"/>
                <w:lang w:val="en-ID"/>
              </w:rPr>
            </w:pPr>
            <w:r w:rsidRPr="009B2C05">
              <w:rPr>
                <w:rFonts w:ascii="Book Antiqua" w:hAnsi="Book Antiqua" w:cs="Times New Roman"/>
                <w:sz w:val="20"/>
                <w:szCs w:val="20"/>
                <w:lang w:val="en-ID"/>
              </w:rPr>
              <w:t>International Comparison</w:t>
            </w:r>
          </w:p>
        </w:tc>
        <w:tc>
          <w:tcPr>
            <w:tcW w:w="0" w:type="auto"/>
            <w:vAlign w:val="center"/>
            <w:hideMark/>
          </w:tcPr>
          <w:p w14:paraId="7A6498AA" w14:textId="77777777" w:rsidR="009B2C05" w:rsidRPr="009B2C05" w:rsidRDefault="009B2C05" w:rsidP="009B2C05">
            <w:pPr>
              <w:spacing w:after="0" w:line="240" w:lineRule="auto"/>
              <w:jc w:val="both"/>
              <w:rPr>
                <w:rFonts w:ascii="Book Antiqua" w:hAnsi="Book Antiqua" w:cs="Times New Roman"/>
                <w:sz w:val="20"/>
                <w:szCs w:val="20"/>
                <w:lang w:val="en-ID"/>
              </w:rPr>
            </w:pPr>
            <w:r w:rsidRPr="009B2C05">
              <w:rPr>
                <w:rFonts w:ascii="Book Antiqua" w:hAnsi="Book Antiqua" w:cs="Times New Roman"/>
                <w:sz w:val="20"/>
                <w:szCs w:val="20"/>
                <w:lang w:val="en-ID"/>
              </w:rPr>
              <w:t>Other countries have National Security Laws (e.g., National Security Act 1947 in the US, ASIO Act 1979 in Australia).</w:t>
            </w:r>
          </w:p>
        </w:tc>
        <w:tc>
          <w:tcPr>
            <w:tcW w:w="0" w:type="auto"/>
            <w:vAlign w:val="center"/>
            <w:hideMark/>
          </w:tcPr>
          <w:p w14:paraId="0041AB39" w14:textId="77777777" w:rsidR="009B2C05" w:rsidRPr="009B2C05" w:rsidRDefault="009B2C05" w:rsidP="009B2C05">
            <w:pPr>
              <w:spacing w:after="0" w:line="240" w:lineRule="auto"/>
              <w:jc w:val="both"/>
              <w:rPr>
                <w:rFonts w:ascii="Book Antiqua" w:hAnsi="Book Antiqua" w:cs="Times New Roman"/>
                <w:sz w:val="20"/>
                <w:szCs w:val="20"/>
                <w:lang w:val="en-ID"/>
              </w:rPr>
            </w:pPr>
            <w:r w:rsidRPr="009B2C05">
              <w:rPr>
                <w:rFonts w:ascii="Book Antiqua" w:hAnsi="Book Antiqua" w:cs="Times New Roman"/>
                <w:sz w:val="20"/>
                <w:szCs w:val="20"/>
                <w:lang w:val="en-ID"/>
              </w:rPr>
              <w:t>Indonesia lags in regulation; risks using intelligence without clear legal limits.</w:t>
            </w:r>
          </w:p>
        </w:tc>
      </w:tr>
    </w:tbl>
    <w:p w14:paraId="6D4E2118" w14:textId="77777777" w:rsidR="009B2C05" w:rsidRDefault="009B2C05" w:rsidP="009B2C05">
      <w:pPr>
        <w:spacing w:after="0" w:line="240" w:lineRule="auto"/>
        <w:ind w:firstLine="567"/>
        <w:jc w:val="both"/>
        <w:rPr>
          <w:rFonts w:ascii="Book Antiqua" w:hAnsi="Book Antiqua" w:cs="Times New Roman"/>
          <w:lang w:val="en-ID"/>
        </w:rPr>
      </w:pPr>
      <w:r w:rsidRPr="009B2C05">
        <w:rPr>
          <w:rFonts w:ascii="Book Antiqua" w:hAnsi="Book Antiqua" w:cs="Times New Roman"/>
          <w:lang w:val="en-ID"/>
        </w:rPr>
        <w:lastRenderedPageBreak/>
        <w:t xml:space="preserve">The legal vacuum resulting from the absence of a National Security Law has serious implications for the exercise of authority by the State Intelligence Agency (BIN). Without a </w:t>
      </w:r>
      <w:r w:rsidRPr="009B2C05">
        <w:rPr>
          <w:rFonts w:ascii="Book Antiqua" w:hAnsi="Book Antiqua" w:cs="Times New Roman"/>
          <w:i/>
          <w:iCs/>
          <w:lang w:val="en-ID"/>
        </w:rPr>
        <w:t>lex generalis</w:t>
      </w:r>
      <w:r w:rsidRPr="009B2C05">
        <w:rPr>
          <w:rFonts w:ascii="Book Antiqua" w:hAnsi="Book Antiqua" w:cs="Times New Roman"/>
          <w:lang w:val="en-ID"/>
        </w:rPr>
        <w:t xml:space="preserve"> regulating the national security system comprehensively, intelligence authority relies solely on sectoral laws such as Law No. 17 of 2011 on State Intelligence, the TNI Law, or the Police Law. This condition clearly contradicts the rule of law principle as enshrined in Article 1 paragraph (3) of the 1945 Constitution, which requires legal certainty as the foundation of every action by state institutions. The lack of a general legal framework often raises questions about BIN’s authority, both due to its ambiguous interpretation and its lack of integration within a coherent national security policy framework.</w:t>
      </w:r>
    </w:p>
    <w:p w14:paraId="351AB9D2" w14:textId="77777777" w:rsidR="009B2C05" w:rsidRDefault="009B2C05" w:rsidP="009B2C05">
      <w:pPr>
        <w:spacing w:after="0" w:line="240" w:lineRule="auto"/>
        <w:ind w:firstLine="567"/>
        <w:jc w:val="both"/>
        <w:rPr>
          <w:rFonts w:ascii="Book Antiqua" w:hAnsi="Book Antiqua" w:cs="Times New Roman"/>
          <w:lang w:val="en-ID"/>
        </w:rPr>
      </w:pPr>
      <w:r w:rsidRPr="009B2C05">
        <w:rPr>
          <w:rFonts w:ascii="Book Antiqua" w:hAnsi="Book Antiqua" w:cs="Times New Roman"/>
          <w:lang w:val="en-ID"/>
        </w:rPr>
        <w:t>From an institutional perspective, the absence of a National Security Law weakens coordination among intelligence agencies. BIN, BAIS TNI, police intelligence, and other sectoral intelligence units frequently perform overlapping functions, leading to disharmony in authority. From a rule of law perspective, this contradicts the principle of checks and balances, which demands clear divisions of tasks and authority. Moreover, weak coordination increases the risk of human rights violations, especially when intelligence operations are carried out repressively against civilians without strong oversight mechanisms.</w:t>
      </w:r>
    </w:p>
    <w:p w14:paraId="42BCB3A9" w14:textId="77777777" w:rsidR="009B2C05" w:rsidRDefault="009B2C05" w:rsidP="009B2C05">
      <w:pPr>
        <w:spacing w:after="0" w:line="240" w:lineRule="auto"/>
        <w:ind w:firstLine="567"/>
        <w:jc w:val="both"/>
        <w:rPr>
          <w:rFonts w:ascii="Book Antiqua" w:hAnsi="Book Antiqua" w:cs="Times New Roman"/>
          <w:lang w:val="en-ID"/>
        </w:rPr>
      </w:pPr>
      <w:r w:rsidRPr="009B2C05">
        <w:rPr>
          <w:rFonts w:ascii="Book Antiqua" w:hAnsi="Book Antiqua" w:cs="Times New Roman"/>
          <w:lang w:val="en-ID"/>
        </w:rPr>
        <w:t>Oversight is another fundamental issue. In the absence of a National Security Law, oversight of BIN is carried out only by the President and the DPR through Commission I. However, DPR’s oversight tends to be political rather than substantive, while no independent supervisory body exists with the authority to monitor intelligence operations. This clearly contradicts the rule of law principle, which requires state accountability, and human rights principles, which demand guarantees of protection for privacy and civil liberties against potential abuse of power.</w:t>
      </w:r>
    </w:p>
    <w:p w14:paraId="084EAB9B" w14:textId="77777777" w:rsidR="009B2C05" w:rsidRDefault="009B2C05" w:rsidP="009B2C05">
      <w:pPr>
        <w:spacing w:after="0" w:line="240" w:lineRule="auto"/>
        <w:ind w:firstLine="567"/>
        <w:jc w:val="both"/>
        <w:rPr>
          <w:rFonts w:ascii="Book Antiqua" w:hAnsi="Book Antiqua" w:cs="Times New Roman"/>
          <w:lang w:val="en-ID"/>
        </w:rPr>
      </w:pPr>
      <w:r w:rsidRPr="009B2C05">
        <w:rPr>
          <w:rFonts w:ascii="Book Antiqua" w:hAnsi="Book Antiqua" w:cs="Times New Roman"/>
          <w:lang w:val="en-ID"/>
        </w:rPr>
        <w:t>Furthermore, the broad and ambiguous definition of threats in the Intelligence Law becomes more problematic without a National Security Law to clarify its limits. The rule of law requires legal norms to be clear and precise (</w:t>
      </w:r>
      <w:r w:rsidRPr="009B2C05">
        <w:rPr>
          <w:rFonts w:ascii="Book Antiqua" w:hAnsi="Book Antiqua" w:cs="Times New Roman"/>
          <w:i/>
          <w:iCs/>
          <w:lang w:val="en-ID"/>
        </w:rPr>
        <w:t>lex certa</w:t>
      </w:r>
      <w:r w:rsidRPr="009B2C05">
        <w:rPr>
          <w:rFonts w:ascii="Book Antiqua" w:hAnsi="Book Antiqua" w:cs="Times New Roman"/>
          <w:lang w:val="en-ID"/>
        </w:rPr>
        <w:t>), while human rights principles demand guarantees that state authority will not be used arbitrarily to restrict citizens’ freedoms. This legal ambiguity allows intelligence authority to be used for suppressing political opposition or limiting freedom of expression.</w:t>
      </w:r>
    </w:p>
    <w:p w14:paraId="258EB014" w14:textId="77777777" w:rsidR="009B2C05" w:rsidRDefault="009B2C05" w:rsidP="009B2C05">
      <w:pPr>
        <w:spacing w:after="0" w:line="240" w:lineRule="auto"/>
        <w:ind w:firstLine="567"/>
        <w:jc w:val="both"/>
        <w:rPr>
          <w:rFonts w:ascii="Book Antiqua" w:hAnsi="Book Antiqua" w:cs="Times New Roman"/>
          <w:lang w:val="en-ID"/>
        </w:rPr>
      </w:pPr>
      <w:r w:rsidRPr="009B2C05">
        <w:rPr>
          <w:rFonts w:ascii="Book Antiqua" w:hAnsi="Book Antiqua" w:cs="Times New Roman"/>
          <w:lang w:val="en-ID"/>
        </w:rPr>
        <w:t>At the policy level, the absence of a National Security Law causes national security policy integration to depend solely on presidential decisions as head of government. This carries the risk of intelligence being misused as a tool for political purposes, as occurred during the New Order era. From the rule of law perspective, this condition clearly contradicts the principle of constitutional supremacy, while from the human rights perspective, it risks violations of citizens’ fundamental rights.</w:t>
      </w:r>
    </w:p>
    <w:p w14:paraId="181566E9" w14:textId="77777777" w:rsidR="009B2C05" w:rsidRDefault="009B2C05" w:rsidP="009B2C05">
      <w:pPr>
        <w:spacing w:after="0" w:line="240" w:lineRule="auto"/>
        <w:ind w:firstLine="567"/>
        <w:jc w:val="both"/>
        <w:rPr>
          <w:rFonts w:ascii="Book Antiqua" w:hAnsi="Book Antiqua" w:cs="Times New Roman"/>
          <w:lang w:val="en-ID"/>
        </w:rPr>
      </w:pPr>
      <w:r w:rsidRPr="009B2C05">
        <w:rPr>
          <w:rFonts w:ascii="Book Antiqua" w:hAnsi="Book Antiqua" w:cs="Times New Roman"/>
          <w:lang w:val="en-ID"/>
        </w:rPr>
        <w:t>In comparison with democratic countries, Indonesia’s shortcomings are evident. The United States has the National Security Act of 1947, the United Kingdom has the Investigatory Powers Act of 2016, and Australia has the ASIO Act of 1979—all of which comprehensively regulate intelligence authority alongside human rights–based oversight mechanisms. The legal vacuum in Indonesia leaves its intelligence practices lagging behind international standards and inconsistent with Article 28I paragraph (4) of the 1945 Constitution, which asserts that the protection, advancement, enforcement, and fulfillment of human rights are the responsibility of the state.</w:t>
      </w:r>
    </w:p>
    <w:p w14:paraId="00956A77" w14:textId="6DB3717B" w:rsidR="009B2C05" w:rsidRPr="009B2C05" w:rsidRDefault="009B2C05" w:rsidP="009B2C05">
      <w:pPr>
        <w:spacing w:after="0" w:line="240" w:lineRule="auto"/>
        <w:ind w:firstLine="567"/>
        <w:jc w:val="both"/>
        <w:rPr>
          <w:rFonts w:ascii="Book Antiqua" w:hAnsi="Book Antiqua" w:cs="Times New Roman"/>
          <w:lang w:val="en-ID"/>
        </w:rPr>
      </w:pPr>
      <w:r w:rsidRPr="009B2C05">
        <w:rPr>
          <w:rFonts w:ascii="Book Antiqua" w:hAnsi="Book Antiqua" w:cs="Times New Roman"/>
          <w:lang w:val="en-ID"/>
        </w:rPr>
        <w:t xml:space="preserve">Thus, the relationship between the legal vacuum and the principles of the rule of law and human rights is direct: the absence of a National Security Law undermines legal certainty, accountability, and oversight of intelligence, while at the same time increasing vulnerability to human rights violations. In other words, BIN’s authority exists in a gray area—legitimate </w:t>
      </w:r>
      <w:r w:rsidRPr="009B2C05">
        <w:rPr>
          <w:rFonts w:ascii="Book Antiqua" w:hAnsi="Book Antiqua" w:cs="Times New Roman"/>
          <w:lang w:val="en-ID"/>
        </w:rPr>
        <w:lastRenderedPageBreak/>
        <w:t>sectorally, but weak constitutionally, and prone to overreach unless it is placed within a comprehensive national legal framework.</w:t>
      </w:r>
    </w:p>
    <w:p w14:paraId="329FE9BD" w14:textId="77777777" w:rsidR="00090796" w:rsidRPr="00C6466D" w:rsidRDefault="00090796" w:rsidP="00796F02">
      <w:pPr>
        <w:spacing w:after="0" w:line="240" w:lineRule="auto"/>
        <w:jc w:val="both"/>
        <w:rPr>
          <w:rFonts w:ascii="Book Antiqua" w:hAnsi="Book Antiqua" w:cs="Times New Roman"/>
        </w:rPr>
      </w:pPr>
    </w:p>
    <w:p w14:paraId="0EBA7659" w14:textId="77777777" w:rsidR="00FD69E5" w:rsidRPr="00D33261" w:rsidRDefault="00FD69E5" w:rsidP="00A515D3">
      <w:pPr>
        <w:spacing w:after="0" w:line="240" w:lineRule="auto"/>
        <w:jc w:val="center"/>
        <w:rPr>
          <w:rFonts w:ascii="Book Antiqua" w:hAnsi="Book Antiqua" w:cs="Times New Roman"/>
          <w:b/>
          <w:color w:val="000000"/>
        </w:rPr>
      </w:pPr>
      <w:r w:rsidRPr="00D33261">
        <w:rPr>
          <w:rFonts w:ascii="Book Antiqua" w:hAnsi="Book Antiqua" w:cs="Times New Roman"/>
          <w:b/>
          <w:color w:val="000000"/>
        </w:rPr>
        <w:t>CONCLUSSION</w:t>
      </w:r>
    </w:p>
    <w:p w14:paraId="565CFCBD" w14:textId="77777777" w:rsidR="009B2C05" w:rsidRPr="009B2C05" w:rsidRDefault="009B2C05" w:rsidP="009B2C05">
      <w:pPr>
        <w:spacing w:after="0" w:line="240" w:lineRule="auto"/>
        <w:jc w:val="both"/>
        <w:rPr>
          <w:rFonts w:ascii="Book Antiqua" w:hAnsi="Book Antiqua" w:cs="Times New Roman"/>
          <w:lang w:val="en-ID"/>
        </w:rPr>
      </w:pPr>
      <w:r w:rsidRPr="009B2C05">
        <w:rPr>
          <w:rFonts w:ascii="Book Antiqua" w:hAnsi="Book Antiqua" w:cs="Times New Roman"/>
          <w:lang w:val="en-ID"/>
        </w:rPr>
        <w:t>The constitutional foundation of intelligence authority in Indonesia derives from the Preamble of the 1945 Constitution and Article 30, which emphasize the state’s mandate to safeguard the nation and ensure security. Although intelligence is not explicitly mentioned, its existence gains strong philosophical, juridical, and sociological legitimacy as an essential instrument of national security.</w:t>
      </w:r>
    </w:p>
    <w:p w14:paraId="4858AFF5" w14:textId="77777777" w:rsidR="009B2C05" w:rsidRPr="009B2C05" w:rsidRDefault="009B2C05" w:rsidP="009B2C05">
      <w:pPr>
        <w:spacing w:after="0" w:line="240" w:lineRule="auto"/>
        <w:ind w:firstLine="567"/>
        <w:jc w:val="both"/>
        <w:rPr>
          <w:rFonts w:ascii="Book Antiqua" w:hAnsi="Book Antiqua" w:cs="Times New Roman"/>
          <w:lang w:val="en-ID"/>
        </w:rPr>
      </w:pPr>
      <w:r w:rsidRPr="009B2C05">
        <w:rPr>
          <w:rFonts w:ascii="Book Antiqua" w:hAnsi="Book Antiqua" w:cs="Times New Roman"/>
          <w:lang w:val="en-ID"/>
        </w:rPr>
        <w:t>However, the absence of a comprehensive National Security Law has created legal fragmentation, weakened the legitimacy of the State Intelligence Agency (BIN), and left gaps in oversight and coordination mechanisms. This condition raises constitutional concerns regarding legal certainty, the principle of legality, and the protection of human rights.</w:t>
      </w:r>
    </w:p>
    <w:p w14:paraId="0D63354E" w14:textId="77777777" w:rsidR="009B2C05" w:rsidRPr="009B2C05" w:rsidRDefault="009B2C05" w:rsidP="009B2C05">
      <w:pPr>
        <w:spacing w:after="0" w:line="240" w:lineRule="auto"/>
        <w:ind w:firstLine="567"/>
        <w:jc w:val="both"/>
        <w:rPr>
          <w:rFonts w:ascii="Book Antiqua" w:hAnsi="Book Antiqua" w:cs="Times New Roman"/>
          <w:lang w:val="en-ID"/>
        </w:rPr>
      </w:pPr>
      <w:r w:rsidRPr="009B2C05">
        <w:rPr>
          <w:rFonts w:ascii="Book Antiqua" w:hAnsi="Book Antiqua" w:cs="Times New Roman"/>
          <w:lang w:val="en-ID"/>
        </w:rPr>
        <w:t>As a rule-of-law state, Indonesia must ensure that BIN’s authority is clearly regulated, limited by law, and subject to strict accountability. Intelligence power should not undermine constitutional rights but instead operate proportionally and in alignment with democratic principles. Without such safeguards, intelligence risks becoming a tool of power that threatens democracy and constitutionalism.</w:t>
      </w:r>
    </w:p>
    <w:p w14:paraId="3200A902" w14:textId="77777777" w:rsidR="009B2C05" w:rsidRPr="009B2C05" w:rsidRDefault="009B2C05" w:rsidP="009B2C05">
      <w:pPr>
        <w:spacing w:after="0" w:line="240" w:lineRule="auto"/>
        <w:ind w:firstLine="567"/>
        <w:jc w:val="both"/>
        <w:rPr>
          <w:rFonts w:ascii="Book Antiqua" w:hAnsi="Book Antiqua" w:cs="Times New Roman"/>
          <w:lang w:val="en-ID"/>
        </w:rPr>
      </w:pPr>
      <w:r w:rsidRPr="009B2C05">
        <w:rPr>
          <w:rFonts w:ascii="Book Antiqua" w:hAnsi="Book Antiqua" w:cs="Times New Roman"/>
          <w:lang w:val="en-ID"/>
        </w:rPr>
        <w:t>This study contributes to the discourse on national intelligence law by proposing a trigger mechanism for BIN’s authority, enabling swift, measurable, and lawful cross-agency coordination. This concept reinforces BIN’s role as both an operational body and an integrative hub of intelligence synergy. Ultimately, it provides an innovative conceptual and policy foundation for enhancing the effectiveness of Indonesia’s national intelligence system in an adaptive, transparent, and responsive manner amidst the evolving challenges of the digital and global era.</w:t>
      </w:r>
    </w:p>
    <w:p w14:paraId="6628883D" w14:textId="77777777" w:rsidR="000D68FF" w:rsidRDefault="000D68FF" w:rsidP="00FD69E5">
      <w:pPr>
        <w:autoSpaceDE w:val="0"/>
        <w:autoSpaceDN w:val="0"/>
        <w:adjustRightInd w:val="0"/>
        <w:spacing w:after="0" w:line="240" w:lineRule="auto"/>
        <w:jc w:val="both"/>
        <w:rPr>
          <w:rFonts w:ascii="Book Antiqua" w:hAnsi="Book Antiqua" w:cs="Times New Roman"/>
        </w:rPr>
      </w:pPr>
    </w:p>
    <w:p w14:paraId="5221A55C" w14:textId="77777777" w:rsidR="009B2C05" w:rsidRDefault="009B2C05" w:rsidP="00FD69E5">
      <w:pPr>
        <w:autoSpaceDE w:val="0"/>
        <w:autoSpaceDN w:val="0"/>
        <w:adjustRightInd w:val="0"/>
        <w:spacing w:after="0" w:line="240" w:lineRule="auto"/>
        <w:jc w:val="both"/>
        <w:rPr>
          <w:rFonts w:ascii="Book Antiqua" w:hAnsi="Book Antiqua" w:cs="Times New Roman"/>
          <w:color w:val="000000"/>
        </w:rPr>
      </w:pPr>
    </w:p>
    <w:p w14:paraId="3A6C8A55" w14:textId="77777777" w:rsidR="00FD69E5" w:rsidRPr="00D33261" w:rsidRDefault="00FD69E5" w:rsidP="006F28C2">
      <w:pPr>
        <w:autoSpaceDE w:val="0"/>
        <w:autoSpaceDN w:val="0"/>
        <w:adjustRightInd w:val="0"/>
        <w:spacing w:after="0" w:line="240" w:lineRule="auto"/>
        <w:rPr>
          <w:rFonts w:ascii="Book Antiqua" w:hAnsi="Book Antiqua" w:cs="Times New Roman"/>
          <w:b/>
          <w:color w:val="000000"/>
        </w:rPr>
      </w:pPr>
      <w:r w:rsidRPr="00D33261">
        <w:rPr>
          <w:rFonts w:ascii="Book Antiqua" w:hAnsi="Book Antiqua" w:cs="Times New Roman"/>
          <w:b/>
          <w:color w:val="000000"/>
        </w:rPr>
        <w:t>REFERENCE</w:t>
      </w:r>
    </w:p>
    <w:p w14:paraId="683D4E8C" w14:textId="77777777" w:rsidR="00425E91" w:rsidRPr="00BF23F7" w:rsidRDefault="00425E91" w:rsidP="00425E91">
      <w:pPr>
        <w:spacing w:after="0" w:line="240" w:lineRule="auto"/>
        <w:ind w:left="709" w:hanging="709"/>
        <w:jc w:val="both"/>
        <w:rPr>
          <w:rFonts w:ascii="Times New Roman" w:eastAsia="Times New Roman" w:hAnsi="Times New Roman" w:cs="Times New Roman"/>
          <w:sz w:val="24"/>
          <w:szCs w:val="24"/>
          <w:lang w:val="id-ID" w:eastAsia="zh-TW"/>
        </w:rPr>
      </w:pPr>
      <w:r w:rsidRPr="00BF23F7">
        <w:rPr>
          <w:rFonts w:ascii="Times New Roman" w:eastAsia="Times New Roman" w:hAnsi="Times New Roman" w:cs="Times New Roman"/>
          <w:sz w:val="24"/>
          <w:szCs w:val="24"/>
          <w:lang w:val="id-ID" w:eastAsia="zh-TW"/>
        </w:rPr>
        <w:t>ASIO Act 1979 (Australia).</w:t>
      </w:r>
    </w:p>
    <w:p w14:paraId="12FB3664" w14:textId="77777777" w:rsidR="00425E91" w:rsidRPr="00BF23F7" w:rsidRDefault="00425E91" w:rsidP="00425E91">
      <w:pPr>
        <w:spacing w:after="0" w:line="240" w:lineRule="auto"/>
        <w:ind w:left="709" w:hanging="709"/>
        <w:jc w:val="both"/>
        <w:rPr>
          <w:rFonts w:ascii="Times New Roman" w:eastAsia="Times New Roman" w:hAnsi="Times New Roman" w:cs="Times New Roman"/>
          <w:sz w:val="24"/>
          <w:szCs w:val="24"/>
          <w:lang w:val="id-ID" w:eastAsia="zh-TW"/>
        </w:rPr>
      </w:pPr>
      <w:r w:rsidRPr="00BF23F7">
        <w:rPr>
          <w:rFonts w:ascii="Times New Roman" w:eastAsia="Times New Roman" w:hAnsi="Times New Roman" w:cs="Times New Roman"/>
          <w:sz w:val="24"/>
          <w:szCs w:val="24"/>
          <w:lang w:val="id-ID" w:eastAsia="zh-TW"/>
        </w:rPr>
        <w:t xml:space="preserve">Asshiddiqie, J. (2005). </w:t>
      </w:r>
      <w:r w:rsidRPr="00BF23F7">
        <w:rPr>
          <w:rFonts w:ascii="Times New Roman" w:eastAsia="Times New Roman" w:hAnsi="Times New Roman" w:cs="Times New Roman"/>
          <w:i/>
          <w:iCs/>
          <w:sz w:val="24"/>
          <w:szCs w:val="24"/>
          <w:lang w:val="id-ID" w:eastAsia="zh-TW"/>
        </w:rPr>
        <w:t>Konstitusi dan Konstitusionalisme Indonesia</w:t>
      </w:r>
      <w:r w:rsidRPr="00BF23F7">
        <w:rPr>
          <w:rFonts w:ascii="Times New Roman" w:eastAsia="Times New Roman" w:hAnsi="Times New Roman" w:cs="Times New Roman"/>
          <w:sz w:val="24"/>
          <w:szCs w:val="24"/>
          <w:lang w:val="id-ID" w:eastAsia="zh-TW"/>
        </w:rPr>
        <w:t>. Jakarta: Rajawali Pers.</w:t>
      </w:r>
    </w:p>
    <w:p w14:paraId="4A625286" w14:textId="77777777" w:rsidR="00425E91" w:rsidRPr="00BF23F7" w:rsidRDefault="00425E91" w:rsidP="00425E91">
      <w:pPr>
        <w:spacing w:after="0" w:line="240" w:lineRule="auto"/>
        <w:ind w:left="709" w:hanging="709"/>
        <w:jc w:val="both"/>
        <w:rPr>
          <w:rFonts w:ascii="Times New Roman" w:eastAsia="Times New Roman" w:hAnsi="Times New Roman" w:cs="Times New Roman"/>
          <w:sz w:val="24"/>
          <w:szCs w:val="24"/>
          <w:lang w:val="id-ID" w:eastAsia="zh-TW"/>
        </w:rPr>
      </w:pPr>
      <w:r w:rsidRPr="00BF23F7">
        <w:rPr>
          <w:rFonts w:ascii="Times New Roman" w:eastAsia="Times New Roman" w:hAnsi="Times New Roman" w:cs="Times New Roman"/>
          <w:sz w:val="24"/>
          <w:szCs w:val="24"/>
          <w:lang w:val="id-ID" w:eastAsia="zh-TW"/>
        </w:rPr>
        <w:t xml:space="preserve">Bahtiar, A., dkk. (2021). Analisa kewenangan BIN dalam pandemi Covid-19. </w:t>
      </w:r>
      <w:r w:rsidRPr="00BF23F7">
        <w:rPr>
          <w:rFonts w:ascii="Times New Roman" w:eastAsia="Times New Roman" w:hAnsi="Times New Roman" w:cs="Times New Roman"/>
          <w:i/>
          <w:iCs/>
          <w:sz w:val="24"/>
          <w:szCs w:val="24"/>
          <w:lang w:val="id-ID" w:eastAsia="zh-TW"/>
        </w:rPr>
        <w:t>Jurnal Ilmu Pemerintahan Indonesia (JIIP)</w:t>
      </w:r>
      <w:r w:rsidRPr="00BF23F7">
        <w:rPr>
          <w:rFonts w:ascii="Times New Roman" w:eastAsia="Times New Roman" w:hAnsi="Times New Roman" w:cs="Times New Roman"/>
          <w:sz w:val="24"/>
          <w:szCs w:val="24"/>
          <w:lang w:val="id-ID" w:eastAsia="zh-TW"/>
        </w:rPr>
        <w:t>.</w:t>
      </w:r>
    </w:p>
    <w:p w14:paraId="3904C15C" w14:textId="77777777" w:rsidR="00425E91" w:rsidRPr="00BF23F7" w:rsidRDefault="00425E91" w:rsidP="00425E91">
      <w:pPr>
        <w:spacing w:after="0" w:line="240" w:lineRule="auto"/>
        <w:ind w:left="709" w:hanging="709"/>
        <w:jc w:val="both"/>
        <w:rPr>
          <w:rFonts w:ascii="Times New Roman" w:eastAsia="Times New Roman" w:hAnsi="Times New Roman" w:cs="Times New Roman"/>
          <w:sz w:val="24"/>
          <w:szCs w:val="24"/>
          <w:lang w:val="id-ID" w:eastAsia="zh-TW"/>
        </w:rPr>
      </w:pPr>
      <w:r w:rsidRPr="00BF23F7">
        <w:rPr>
          <w:rFonts w:ascii="Times New Roman" w:eastAsia="Times New Roman" w:hAnsi="Times New Roman" w:cs="Times New Roman"/>
          <w:sz w:val="24"/>
          <w:szCs w:val="24"/>
          <w:lang w:val="id-ID" w:eastAsia="zh-TW"/>
        </w:rPr>
        <w:t xml:space="preserve">Bhakti, I. N. (2005). </w:t>
      </w:r>
      <w:r w:rsidRPr="00BF23F7">
        <w:rPr>
          <w:rFonts w:ascii="Times New Roman" w:eastAsia="Times New Roman" w:hAnsi="Times New Roman" w:cs="Times New Roman"/>
          <w:i/>
          <w:iCs/>
          <w:sz w:val="24"/>
          <w:szCs w:val="24"/>
          <w:lang w:val="id-ID" w:eastAsia="zh-TW"/>
        </w:rPr>
        <w:t>Intelijen dan Keamanan Negara</w:t>
      </w:r>
      <w:r w:rsidRPr="00BF23F7">
        <w:rPr>
          <w:rFonts w:ascii="Times New Roman" w:eastAsia="Times New Roman" w:hAnsi="Times New Roman" w:cs="Times New Roman"/>
          <w:sz w:val="24"/>
          <w:szCs w:val="24"/>
          <w:lang w:val="id-ID" w:eastAsia="zh-TW"/>
        </w:rPr>
        <w:t>. Jakarta: Pacivis UI.</w:t>
      </w:r>
    </w:p>
    <w:p w14:paraId="067AC8BB" w14:textId="77777777" w:rsidR="00425E91" w:rsidRPr="00BF23F7" w:rsidRDefault="00425E91" w:rsidP="00425E91">
      <w:pPr>
        <w:spacing w:after="0" w:line="240" w:lineRule="auto"/>
        <w:ind w:left="709" w:hanging="709"/>
        <w:jc w:val="both"/>
        <w:rPr>
          <w:rFonts w:ascii="Times New Roman" w:eastAsia="Times New Roman" w:hAnsi="Times New Roman" w:cs="Times New Roman"/>
          <w:sz w:val="24"/>
          <w:szCs w:val="24"/>
          <w:lang w:val="id-ID" w:eastAsia="zh-TW"/>
        </w:rPr>
      </w:pPr>
      <w:r w:rsidRPr="00BF23F7">
        <w:rPr>
          <w:rFonts w:ascii="Times New Roman" w:eastAsia="Times New Roman" w:hAnsi="Times New Roman" w:cs="Times New Roman"/>
          <w:sz w:val="24"/>
          <w:szCs w:val="24"/>
          <w:lang w:val="id-ID" w:eastAsia="zh-TW"/>
        </w:rPr>
        <w:t xml:space="preserve">Buzan, B. (1991). </w:t>
      </w:r>
      <w:r w:rsidRPr="00BF23F7">
        <w:rPr>
          <w:rFonts w:ascii="Times New Roman" w:eastAsia="Times New Roman" w:hAnsi="Times New Roman" w:cs="Times New Roman"/>
          <w:i/>
          <w:iCs/>
          <w:sz w:val="24"/>
          <w:szCs w:val="24"/>
          <w:lang w:val="id-ID" w:eastAsia="zh-TW"/>
        </w:rPr>
        <w:t>People, States and Fear: An Agenda for International Security Studies in the Post-Cold War Era</w:t>
      </w:r>
      <w:r w:rsidRPr="00BF23F7">
        <w:rPr>
          <w:rFonts w:ascii="Times New Roman" w:eastAsia="Times New Roman" w:hAnsi="Times New Roman" w:cs="Times New Roman"/>
          <w:sz w:val="24"/>
          <w:szCs w:val="24"/>
          <w:lang w:val="id-ID" w:eastAsia="zh-TW"/>
        </w:rPr>
        <w:t>. Boulder: Lynne Rienner.</w:t>
      </w:r>
    </w:p>
    <w:p w14:paraId="2F736D66" w14:textId="77777777" w:rsidR="00425E91" w:rsidRPr="00BF23F7" w:rsidRDefault="00425E91" w:rsidP="00425E91">
      <w:pPr>
        <w:spacing w:after="0" w:line="240" w:lineRule="auto"/>
        <w:ind w:left="709" w:hanging="709"/>
        <w:jc w:val="both"/>
        <w:rPr>
          <w:rFonts w:ascii="Times New Roman" w:eastAsia="Times New Roman" w:hAnsi="Times New Roman" w:cs="Times New Roman"/>
          <w:sz w:val="24"/>
          <w:szCs w:val="24"/>
          <w:lang w:val="id-ID" w:eastAsia="zh-TW"/>
        </w:rPr>
      </w:pPr>
      <w:r w:rsidRPr="00BF23F7">
        <w:rPr>
          <w:rFonts w:ascii="Times New Roman" w:eastAsia="Times New Roman" w:hAnsi="Times New Roman" w:cs="Times New Roman"/>
          <w:sz w:val="24"/>
          <w:szCs w:val="24"/>
          <w:lang w:val="id-ID" w:eastAsia="zh-TW"/>
        </w:rPr>
        <w:t xml:space="preserve">Buzan, B., Wæver, O., &amp; de Wilde, J. (1998). </w:t>
      </w:r>
      <w:r w:rsidRPr="00BF23F7">
        <w:rPr>
          <w:rFonts w:ascii="Times New Roman" w:eastAsia="Times New Roman" w:hAnsi="Times New Roman" w:cs="Times New Roman"/>
          <w:i/>
          <w:iCs/>
          <w:sz w:val="24"/>
          <w:szCs w:val="24"/>
          <w:lang w:val="id-ID" w:eastAsia="zh-TW"/>
        </w:rPr>
        <w:t>Security: A New Framework for Analysis</w:t>
      </w:r>
      <w:r w:rsidRPr="00BF23F7">
        <w:rPr>
          <w:rFonts w:ascii="Times New Roman" w:eastAsia="Times New Roman" w:hAnsi="Times New Roman" w:cs="Times New Roman"/>
          <w:sz w:val="24"/>
          <w:szCs w:val="24"/>
          <w:lang w:val="id-ID" w:eastAsia="zh-TW"/>
        </w:rPr>
        <w:t>. Boulder: Lynne Rienner.</w:t>
      </w:r>
    </w:p>
    <w:p w14:paraId="7A38B61F" w14:textId="77777777" w:rsidR="00425E91" w:rsidRPr="00BF23F7" w:rsidRDefault="00425E91" w:rsidP="00425E91">
      <w:pPr>
        <w:spacing w:after="0" w:line="240" w:lineRule="auto"/>
        <w:ind w:left="709" w:hanging="709"/>
        <w:jc w:val="both"/>
        <w:rPr>
          <w:rFonts w:ascii="Times New Roman" w:eastAsia="Times New Roman" w:hAnsi="Times New Roman" w:cs="Times New Roman"/>
          <w:sz w:val="24"/>
          <w:szCs w:val="24"/>
          <w:lang w:val="id-ID" w:eastAsia="zh-TW"/>
        </w:rPr>
      </w:pPr>
      <w:r w:rsidRPr="00BF23F7">
        <w:rPr>
          <w:rFonts w:ascii="Times New Roman" w:eastAsia="Times New Roman" w:hAnsi="Times New Roman" w:cs="Times New Roman"/>
          <w:sz w:val="24"/>
          <w:szCs w:val="24"/>
          <w:lang w:val="id-ID" w:eastAsia="zh-TW"/>
        </w:rPr>
        <w:t xml:space="preserve">Darmono, B. (2010). </w:t>
      </w:r>
      <w:r w:rsidRPr="00BF23F7">
        <w:rPr>
          <w:rFonts w:ascii="Times New Roman" w:eastAsia="Times New Roman" w:hAnsi="Times New Roman" w:cs="Times New Roman"/>
          <w:i/>
          <w:iCs/>
          <w:sz w:val="24"/>
          <w:szCs w:val="24"/>
          <w:lang w:val="id-ID" w:eastAsia="zh-TW"/>
        </w:rPr>
        <w:t>Keamanan Nasional</w:t>
      </w:r>
      <w:r w:rsidRPr="00BF23F7">
        <w:rPr>
          <w:rFonts w:ascii="Times New Roman" w:eastAsia="Times New Roman" w:hAnsi="Times New Roman" w:cs="Times New Roman"/>
          <w:sz w:val="24"/>
          <w:szCs w:val="24"/>
          <w:lang w:val="id-ID" w:eastAsia="zh-TW"/>
        </w:rPr>
        <w:t>. Jakarta: Dewan Ketahanan Nasional (Wantannas).</w:t>
      </w:r>
    </w:p>
    <w:p w14:paraId="6CAFBBD2" w14:textId="0F822186" w:rsidR="00425E91" w:rsidRPr="00BF23F7" w:rsidRDefault="00425E91" w:rsidP="00425E91">
      <w:pPr>
        <w:spacing w:after="0" w:line="240" w:lineRule="auto"/>
        <w:ind w:left="709" w:hanging="709"/>
        <w:jc w:val="both"/>
        <w:rPr>
          <w:rFonts w:ascii="Times New Roman" w:eastAsia="Times New Roman" w:hAnsi="Times New Roman" w:cs="Times New Roman"/>
          <w:sz w:val="24"/>
          <w:szCs w:val="24"/>
          <w:lang w:val="id-ID" w:eastAsia="zh-TW"/>
        </w:rPr>
      </w:pPr>
      <w:r w:rsidRPr="00BF23F7">
        <w:rPr>
          <w:rFonts w:ascii="Times New Roman" w:eastAsia="Times New Roman" w:hAnsi="Times New Roman" w:cs="Times New Roman"/>
          <w:sz w:val="24"/>
          <w:szCs w:val="24"/>
          <w:lang w:val="id-ID" w:eastAsia="zh-TW"/>
        </w:rPr>
        <w:t xml:space="preserve">Djafar, W. (2012). </w:t>
      </w:r>
      <w:r w:rsidRPr="00425E91">
        <w:rPr>
          <w:rFonts w:ascii="Times New Roman" w:eastAsia="Times New Roman" w:hAnsi="Times New Roman" w:cs="Times New Roman"/>
          <w:i/>
          <w:iCs/>
          <w:sz w:val="24"/>
          <w:szCs w:val="24"/>
          <w:lang w:val="id-ID" w:eastAsia="zh-TW"/>
        </w:rPr>
        <w:t xml:space="preserve">Laporan </w:t>
      </w:r>
      <w:r>
        <w:rPr>
          <w:rFonts w:ascii="Times New Roman" w:eastAsia="Times New Roman" w:hAnsi="Times New Roman" w:cs="Times New Roman"/>
          <w:i/>
          <w:iCs/>
          <w:sz w:val="24"/>
          <w:szCs w:val="24"/>
          <w:lang w:val="id-ID" w:eastAsia="zh-TW"/>
        </w:rPr>
        <w:t>A</w:t>
      </w:r>
      <w:r w:rsidRPr="00425E91">
        <w:rPr>
          <w:rFonts w:ascii="Times New Roman" w:eastAsia="Times New Roman" w:hAnsi="Times New Roman" w:cs="Times New Roman"/>
          <w:i/>
          <w:iCs/>
          <w:sz w:val="24"/>
          <w:szCs w:val="24"/>
          <w:lang w:val="id-ID" w:eastAsia="zh-TW"/>
        </w:rPr>
        <w:t>nalisis UU Intelijen Negara</w:t>
      </w:r>
      <w:r w:rsidRPr="00BF23F7">
        <w:rPr>
          <w:rFonts w:ascii="Times New Roman" w:eastAsia="Times New Roman" w:hAnsi="Times New Roman" w:cs="Times New Roman"/>
          <w:sz w:val="24"/>
          <w:szCs w:val="24"/>
          <w:lang w:val="id-ID" w:eastAsia="zh-TW"/>
        </w:rPr>
        <w:t>. Jakarta: ELSAM.</w:t>
      </w:r>
    </w:p>
    <w:p w14:paraId="2CC54B2C" w14:textId="7C6AE3C4" w:rsidR="00425E91" w:rsidRPr="00BF23F7" w:rsidRDefault="00425E91" w:rsidP="00425E91">
      <w:pPr>
        <w:spacing w:after="0" w:line="240" w:lineRule="auto"/>
        <w:ind w:left="709" w:hanging="709"/>
        <w:jc w:val="both"/>
        <w:rPr>
          <w:rFonts w:ascii="Times New Roman" w:eastAsia="Times New Roman" w:hAnsi="Times New Roman" w:cs="Times New Roman"/>
          <w:sz w:val="24"/>
          <w:szCs w:val="24"/>
          <w:lang w:val="id-ID" w:eastAsia="zh-TW"/>
        </w:rPr>
      </w:pPr>
      <w:r w:rsidRPr="00BF23F7">
        <w:rPr>
          <w:rFonts w:ascii="Times New Roman" w:eastAsia="Times New Roman" w:hAnsi="Times New Roman" w:cs="Times New Roman"/>
          <w:sz w:val="24"/>
          <w:szCs w:val="24"/>
          <w:lang w:val="id-ID" w:eastAsia="zh-TW"/>
        </w:rPr>
        <w:t>E</w:t>
      </w:r>
      <w:r>
        <w:rPr>
          <w:rFonts w:ascii="Times New Roman" w:eastAsia="Times New Roman" w:hAnsi="Times New Roman" w:cs="Times New Roman"/>
          <w:sz w:val="24"/>
          <w:szCs w:val="24"/>
          <w:lang w:val="id-ID" w:eastAsia="zh-TW"/>
        </w:rPr>
        <w:t>lsam</w:t>
      </w:r>
      <w:r w:rsidRPr="00BF23F7">
        <w:rPr>
          <w:rFonts w:ascii="Times New Roman" w:eastAsia="Times New Roman" w:hAnsi="Times New Roman" w:cs="Times New Roman"/>
          <w:sz w:val="24"/>
          <w:szCs w:val="24"/>
          <w:lang w:val="id-ID" w:eastAsia="zh-TW"/>
        </w:rPr>
        <w:t xml:space="preserve">. (2012). </w:t>
      </w:r>
      <w:r w:rsidRPr="00425E91">
        <w:rPr>
          <w:rFonts w:ascii="Times New Roman" w:eastAsia="Times New Roman" w:hAnsi="Times New Roman" w:cs="Times New Roman"/>
          <w:i/>
          <w:iCs/>
          <w:sz w:val="24"/>
          <w:szCs w:val="24"/>
          <w:lang w:val="id-ID" w:eastAsia="zh-TW"/>
        </w:rPr>
        <w:t>Catatan Kritis atas Implementasi UU Intelijen Negara</w:t>
      </w:r>
      <w:r w:rsidRPr="00BF23F7">
        <w:rPr>
          <w:rFonts w:ascii="Times New Roman" w:eastAsia="Times New Roman" w:hAnsi="Times New Roman" w:cs="Times New Roman"/>
          <w:sz w:val="24"/>
          <w:szCs w:val="24"/>
          <w:lang w:val="id-ID" w:eastAsia="zh-TW"/>
        </w:rPr>
        <w:t>. Jakarta: Lembaga Studi dan Advokasi Masyarakat.</w:t>
      </w:r>
    </w:p>
    <w:p w14:paraId="27E18F68" w14:textId="77777777" w:rsidR="00425E91" w:rsidRPr="00BF23F7" w:rsidRDefault="00425E91" w:rsidP="00425E91">
      <w:pPr>
        <w:spacing w:after="0" w:line="240" w:lineRule="auto"/>
        <w:ind w:left="709" w:hanging="709"/>
        <w:jc w:val="both"/>
        <w:rPr>
          <w:rFonts w:ascii="Times New Roman" w:eastAsia="Times New Roman" w:hAnsi="Times New Roman" w:cs="Times New Roman"/>
          <w:sz w:val="24"/>
          <w:szCs w:val="24"/>
          <w:lang w:val="id-ID" w:eastAsia="zh-TW"/>
        </w:rPr>
      </w:pPr>
      <w:r w:rsidRPr="00BF23F7">
        <w:rPr>
          <w:rFonts w:ascii="Times New Roman" w:eastAsia="Times New Roman" w:hAnsi="Times New Roman" w:cs="Times New Roman"/>
          <w:sz w:val="24"/>
          <w:szCs w:val="24"/>
          <w:lang w:val="id-ID" w:eastAsia="zh-TW"/>
        </w:rPr>
        <w:t>Foreign Intelligence Surveillance Act (FISA) Court (United States).</w:t>
      </w:r>
    </w:p>
    <w:p w14:paraId="13475A02" w14:textId="77777777" w:rsidR="00425E91" w:rsidRPr="00BF23F7" w:rsidRDefault="00425E91" w:rsidP="00425E91">
      <w:pPr>
        <w:spacing w:after="0" w:line="240" w:lineRule="auto"/>
        <w:ind w:left="709" w:hanging="709"/>
        <w:jc w:val="both"/>
        <w:rPr>
          <w:rFonts w:ascii="Times New Roman" w:eastAsia="Times New Roman" w:hAnsi="Times New Roman" w:cs="Times New Roman"/>
          <w:sz w:val="24"/>
          <w:szCs w:val="24"/>
          <w:lang w:val="id-ID" w:eastAsia="zh-TW"/>
        </w:rPr>
      </w:pPr>
      <w:r w:rsidRPr="00BF23F7">
        <w:rPr>
          <w:rFonts w:ascii="Times New Roman" w:eastAsia="Times New Roman" w:hAnsi="Times New Roman" w:cs="Times New Roman"/>
          <w:sz w:val="24"/>
          <w:szCs w:val="24"/>
          <w:lang w:val="id-ID" w:eastAsia="zh-TW"/>
        </w:rPr>
        <w:t xml:space="preserve">Hadjon, P. M. (2007). </w:t>
      </w:r>
      <w:r w:rsidRPr="00BF23F7">
        <w:rPr>
          <w:rFonts w:ascii="Times New Roman" w:eastAsia="Times New Roman" w:hAnsi="Times New Roman" w:cs="Times New Roman"/>
          <w:i/>
          <w:iCs/>
          <w:sz w:val="24"/>
          <w:szCs w:val="24"/>
          <w:lang w:val="id-ID" w:eastAsia="zh-TW"/>
        </w:rPr>
        <w:t>Administrasi Negara dan Kebijakan Publik</w:t>
      </w:r>
      <w:r w:rsidRPr="00BF23F7">
        <w:rPr>
          <w:rFonts w:ascii="Times New Roman" w:eastAsia="Times New Roman" w:hAnsi="Times New Roman" w:cs="Times New Roman"/>
          <w:sz w:val="24"/>
          <w:szCs w:val="24"/>
          <w:lang w:val="id-ID" w:eastAsia="zh-TW"/>
        </w:rPr>
        <w:t>. Jakarta: Rajawali Pers.</w:t>
      </w:r>
    </w:p>
    <w:p w14:paraId="3354AE4F" w14:textId="77777777" w:rsidR="00425E91" w:rsidRPr="00BF23F7" w:rsidRDefault="00425E91" w:rsidP="00425E91">
      <w:pPr>
        <w:spacing w:after="0" w:line="240" w:lineRule="auto"/>
        <w:ind w:left="709" w:hanging="709"/>
        <w:jc w:val="both"/>
        <w:rPr>
          <w:rFonts w:ascii="Times New Roman" w:eastAsia="Times New Roman" w:hAnsi="Times New Roman" w:cs="Times New Roman"/>
          <w:sz w:val="24"/>
          <w:szCs w:val="24"/>
          <w:lang w:val="id-ID" w:eastAsia="zh-TW"/>
        </w:rPr>
      </w:pPr>
      <w:r w:rsidRPr="00BF23F7">
        <w:rPr>
          <w:rFonts w:ascii="Times New Roman" w:eastAsia="Times New Roman" w:hAnsi="Times New Roman" w:cs="Times New Roman"/>
          <w:sz w:val="24"/>
          <w:szCs w:val="24"/>
          <w:lang w:val="id-ID" w:eastAsia="zh-TW"/>
        </w:rPr>
        <w:t xml:space="preserve">Hamidi, J., &amp; Lutfi, M. (2010). </w:t>
      </w:r>
      <w:r w:rsidRPr="00BF23F7">
        <w:rPr>
          <w:rFonts w:ascii="Times New Roman" w:eastAsia="Times New Roman" w:hAnsi="Times New Roman" w:cs="Times New Roman"/>
          <w:i/>
          <w:iCs/>
          <w:sz w:val="24"/>
          <w:szCs w:val="24"/>
          <w:lang w:val="id-ID" w:eastAsia="zh-TW"/>
        </w:rPr>
        <w:t>Civic Education: Hak dan Kewajiban Warga Negara</w:t>
      </w:r>
      <w:r w:rsidRPr="00BF23F7">
        <w:rPr>
          <w:rFonts w:ascii="Times New Roman" w:eastAsia="Times New Roman" w:hAnsi="Times New Roman" w:cs="Times New Roman"/>
          <w:sz w:val="24"/>
          <w:szCs w:val="24"/>
          <w:lang w:val="id-ID" w:eastAsia="zh-TW"/>
        </w:rPr>
        <w:t>. Jakarta: Gramedia.</w:t>
      </w:r>
    </w:p>
    <w:p w14:paraId="52AFCD49" w14:textId="77777777" w:rsidR="00425E91" w:rsidRPr="00BF23F7" w:rsidRDefault="00425E91" w:rsidP="00425E91">
      <w:pPr>
        <w:spacing w:after="0" w:line="240" w:lineRule="auto"/>
        <w:ind w:left="709" w:hanging="709"/>
        <w:jc w:val="both"/>
        <w:rPr>
          <w:rFonts w:ascii="Times New Roman" w:eastAsia="Times New Roman" w:hAnsi="Times New Roman" w:cs="Times New Roman"/>
          <w:sz w:val="24"/>
          <w:szCs w:val="24"/>
          <w:lang w:val="id-ID" w:eastAsia="zh-TW"/>
        </w:rPr>
      </w:pPr>
      <w:r w:rsidRPr="00BF23F7">
        <w:rPr>
          <w:rFonts w:ascii="Times New Roman" w:eastAsia="Times New Roman" w:hAnsi="Times New Roman" w:cs="Times New Roman"/>
          <w:sz w:val="24"/>
          <w:szCs w:val="24"/>
          <w:lang w:val="id-ID" w:eastAsia="zh-TW"/>
        </w:rPr>
        <w:t xml:space="preserve">Imparsial. (2005). </w:t>
      </w:r>
      <w:r w:rsidRPr="00BF23F7">
        <w:rPr>
          <w:rFonts w:ascii="Times New Roman" w:eastAsia="Times New Roman" w:hAnsi="Times New Roman" w:cs="Times New Roman"/>
          <w:i/>
          <w:iCs/>
          <w:sz w:val="24"/>
          <w:szCs w:val="24"/>
          <w:lang w:val="id-ID" w:eastAsia="zh-TW"/>
        </w:rPr>
        <w:t>Kinerja BIN di Masa Transisi Demokrasi</w:t>
      </w:r>
      <w:r w:rsidRPr="00BF23F7">
        <w:rPr>
          <w:rFonts w:ascii="Times New Roman" w:eastAsia="Times New Roman" w:hAnsi="Times New Roman" w:cs="Times New Roman"/>
          <w:sz w:val="24"/>
          <w:szCs w:val="24"/>
          <w:lang w:val="id-ID" w:eastAsia="zh-TW"/>
        </w:rPr>
        <w:t>. Jakarta: Imparsial.</w:t>
      </w:r>
    </w:p>
    <w:p w14:paraId="3D635963" w14:textId="77777777" w:rsidR="00425E91" w:rsidRPr="00BF23F7" w:rsidRDefault="00425E91" w:rsidP="00425E91">
      <w:pPr>
        <w:spacing w:after="0" w:line="240" w:lineRule="auto"/>
        <w:ind w:left="709" w:hanging="709"/>
        <w:jc w:val="both"/>
        <w:rPr>
          <w:rFonts w:ascii="Times New Roman" w:eastAsia="Times New Roman" w:hAnsi="Times New Roman" w:cs="Times New Roman"/>
          <w:sz w:val="24"/>
          <w:szCs w:val="24"/>
          <w:lang w:val="id-ID" w:eastAsia="zh-TW"/>
        </w:rPr>
      </w:pPr>
      <w:r w:rsidRPr="00BF23F7">
        <w:rPr>
          <w:rFonts w:ascii="Times New Roman" w:eastAsia="Times New Roman" w:hAnsi="Times New Roman" w:cs="Times New Roman"/>
          <w:sz w:val="24"/>
          <w:szCs w:val="24"/>
          <w:lang w:val="id-ID" w:eastAsia="zh-TW"/>
        </w:rPr>
        <w:t>Inspector-General of Intelligence and Security (IGIS) Act (Australia).</w:t>
      </w:r>
    </w:p>
    <w:p w14:paraId="27690C13" w14:textId="77777777" w:rsidR="00425E91" w:rsidRPr="00BF23F7" w:rsidRDefault="00425E91" w:rsidP="00425E91">
      <w:pPr>
        <w:spacing w:after="0" w:line="240" w:lineRule="auto"/>
        <w:ind w:left="709" w:hanging="709"/>
        <w:jc w:val="both"/>
        <w:rPr>
          <w:rFonts w:ascii="Times New Roman" w:eastAsia="Times New Roman" w:hAnsi="Times New Roman" w:cs="Times New Roman"/>
          <w:sz w:val="24"/>
          <w:szCs w:val="24"/>
          <w:lang w:val="id-ID" w:eastAsia="zh-TW"/>
        </w:rPr>
      </w:pPr>
      <w:r w:rsidRPr="00BF23F7">
        <w:rPr>
          <w:rFonts w:ascii="Times New Roman" w:eastAsia="Times New Roman" w:hAnsi="Times New Roman" w:cs="Times New Roman"/>
          <w:sz w:val="24"/>
          <w:szCs w:val="24"/>
          <w:lang w:val="id-ID" w:eastAsia="zh-TW"/>
        </w:rPr>
        <w:lastRenderedPageBreak/>
        <w:t>Intelligence and Security Committee (ISC) UK Annual Report (2020).</w:t>
      </w:r>
    </w:p>
    <w:p w14:paraId="0400F7F8" w14:textId="77777777" w:rsidR="00425E91" w:rsidRPr="00BF23F7" w:rsidRDefault="00425E91" w:rsidP="00425E91">
      <w:pPr>
        <w:spacing w:after="0" w:line="240" w:lineRule="auto"/>
        <w:ind w:left="709" w:hanging="709"/>
        <w:jc w:val="both"/>
        <w:rPr>
          <w:rFonts w:ascii="Times New Roman" w:eastAsia="Times New Roman" w:hAnsi="Times New Roman" w:cs="Times New Roman"/>
          <w:sz w:val="24"/>
          <w:szCs w:val="24"/>
          <w:lang w:val="id-ID" w:eastAsia="zh-TW"/>
        </w:rPr>
      </w:pPr>
      <w:r w:rsidRPr="00BF23F7">
        <w:rPr>
          <w:rFonts w:ascii="Times New Roman" w:eastAsia="Times New Roman" w:hAnsi="Times New Roman" w:cs="Times New Roman"/>
          <w:sz w:val="24"/>
          <w:szCs w:val="24"/>
          <w:lang w:val="id-ID" w:eastAsia="zh-TW"/>
        </w:rPr>
        <w:t>Intelligence Services Act (ISA) 1994 (United Kingdom).</w:t>
      </w:r>
    </w:p>
    <w:p w14:paraId="34358803" w14:textId="77777777" w:rsidR="00425E91" w:rsidRPr="00BF23F7" w:rsidRDefault="00425E91" w:rsidP="00425E91">
      <w:pPr>
        <w:spacing w:after="0" w:line="240" w:lineRule="auto"/>
        <w:ind w:left="709" w:hanging="709"/>
        <w:jc w:val="both"/>
        <w:rPr>
          <w:rFonts w:ascii="Times New Roman" w:eastAsia="Times New Roman" w:hAnsi="Times New Roman" w:cs="Times New Roman"/>
          <w:sz w:val="24"/>
          <w:szCs w:val="24"/>
          <w:lang w:val="id-ID" w:eastAsia="zh-TW"/>
        </w:rPr>
      </w:pPr>
      <w:r w:rsidRPr="00BF23F7">
        <w:rPr>
          <w:rFonts w:ascii="Times New Roman" w:eastAsia="Times New Roman" w:hAnsi="Times New Roman" w:cs="Times New Roman"/>
          <w:sz w:val="24"/>
          <w:szCs w:val="24"/>
          <w:lang w:val="id-ID" w:eastAsia="zh-TW"/>
        </w:rPr>
        <w:t>Investigatory Powers Act 2016 (United Kingdom).</w:t>
      </w:r>
    </w:p>
    <w:p w14:paraId="04AFA74C" w14:textId="77777777" w:rsidR="00425E91" w:rsidRPr="00BF23F7" w:rsidRDefault="00425E91" w:rsidP="00425E91">
      <w:pPr>
        <w:spacing w:after="0" w:line="240" w:lineRule="auto"/>
        <w:ind w:left="709" w:hanging="709"/>
        <w:jc w:val="both"/>
        <w:rPr>
          <w:rFonts w:ascii="Times New Roman" w:eastAsia="Times New Roman" w:hAnsi="Times New Roman" w:cs="Times New Roman"/>
          <w:sz w:val="24"/>
          <w:szCs w:val="24"/>
          <w:lang w:val="id-ID" w:eastAsia="zh-TW"/>
        </w:rPr>
      </w:pPr>
      <w:r w:rsidRPr="00BF23F7">
        <w:rPr>
          <w:rFonts w:ascii="Times New Roman" w:eastAsia="Times New Roman" w:hAnsi="Times New Roman" w:cs="Times New Roman"/>
          <w:sz w:val="24"/>
          <w:szCs w:val="24"/>
          <w:lang w:val="id-ID" w:eastAsia="zh-TW"/>
        </w:rPr>
        <w:t xml:space="preserve">Johnson, E. R. (2019). </w:t>
      </w:r>
      <w:r w:rsidRPr="00BF23F7">
        <w:rPr>
          <w:rFonts w:ascii="Times New Roman" w:eastAsia="Times New Roman" w:hAnsi="Times New Roman" w:cs="Times New Roman"/>
          <w:i/>
          <w:iCs/>
          <w:sz w:val="24"/>
          <w:szCs w:val="24"/>
          <w:lang w:val="id-ID" w:eastAsia="zh-TW"/>
        </w:rPr>
        <w:t>Balancing National Security and Constitutional Rights</w:t>
      </w:r>
      <w:r w:rsidRPr="00BF23F7">
        <w:rPr>
          <w:rFonts w:ascii="Times New Roman" w:eastAsia="Times New Roman" w:hAnsi="Times New Roman" w:cs="Times New Roman"/>
          <w:sz w:val="24"/>
          <w:szCs w:val="24"/>
          <w:lang w:val="id-ID" w:eastAsia="zh-TW"/>
        </w:rPr>
        <w:t>. Ann Arbor: University of Michigan Press.</w:t>
      </w:r>
    </w:p>
    <w:p w14:paraId="61B1B7AB" w14:textId="77777777" w:rsidR="00425E91" w:rsidRPr="00BF23F7" w:rsidRDefault="00425E91" w:rsidP="00425E91">
      <w:pPr>
        <w:spacing w:after="0" w:line="240" w:lineRule="auto"/>
        <w:ind w:left="709" w:hanging="709"/>
        <w:jc w:val="both"/>
        <w:rPr>
          <w:rFonts w:ascii="Times New Roman" w:eastAsia="Times New Roman" w:hAnsi="Times New Roman" w:cs="Times New Roman"/>
          <w:sz w:val="24"/>
          <w:szCs w:val="24"/>
          <w:lang w:val="id-ID" w:eastAsia="zh-TW"/>
        </w:rPr>
      </w:pPr>
      <w:r w:rsidRPr="00BF23F7">
        <w:rPr>
          <w:rFonts w:ascii="Times New Roman" w:eastAsia="Times New Roman" w:hAnsi="Times New Roman" w:cs="Times New Roman"/>
          <w:sz w:val="24"/>
          <w:szCs w:val="24"/>
          <w:lang w:val="id-ID" w:eastAsia="zh-TW"/>
        </w:rPr>
        <w:t xml:space="preserve">Lowenthal, M. (2009). </w:t>
      </w:r>
      <w:r w:rsidRPr="00BF23F7">
        <w:rPr>
          <w:rFonts w:ascii="Times New Roman" w:eastAsia="Times New Roman" w:hAnsi="Times New Roman" w:cs="Times New Roman"/>
          <w:i/>
          <w:iCs/>
          <w:sz w:val="24"/>
          <w:szCs w:val="24"/>
          <w:lang w:val="id-ID" w:eastAsia="zh-TW"/>
        </w:rPr>
        <w:t>Intelligence: From Secrets to Policy</w:t>
      </w:r>
      <w:r w:rsidRPr="00BF23F7">
        <w:rPr>
          <w:rFonts w:ascii="Times New Roman" w:eastAsia="Times New Roman" w:hAnsi="Times New Roman" w:cs="Times New Roman"/>
          <w:sz w:val="24"/>
          <w:szCs w:val="24"/>
          <w:lang w:val="id-ID" w:eastAsia="zh-TW"/>
        </w:rPr>
        <w:t xml:space="preserve"> (4th ed.). Washington DC: CQ Press.</w:t>
      </w:r>
    </w:p>
    <w:p w14:paraId="79E009A3" w14:textId="77777777" w:rsidR="00425E91" w:rsidRPr="00BF23F7" w:rsidRDefault="00425E91" w:rsidP="00425E91">
      <w:pPr>
        <w:spacing w:after="0" w:line="240" w:lineRule="auto"/>
        <w:ind w:left="709" w:hanging="709"/>
        <w:jc w:val="both"/>
        <w:rPr>
          <w:rFonts w:ascii="Times New Roman" w:eastAsia="Times New Roman" w:hAnsi="Times New Roman" w:cs="Times New Roman"/>
          <w:sz w:val="24"/>
          <w:szCs w:val="24"/>
          <w:lang w:val="id-ID" w:eastAsia="zh-TW"/>
        </w:rPr>
      </w:pPr>
      <w:r w:rsidRPr="00BF23F7">
        <w:rPr>
          <w:rFonts w:ascii="Times New Roman" w:eastAsia="Times New Roman" w:hAnsi="Times New Roman" w:cs="Times New Roman"/>
          <w:sz w:val="24"/>
          <w:szCs w:val="24"/>
          <w:lang w:val="id-ID" w:eastAsia="zh-TW"/>
        </w:rPr>
        <w:t xml:space="preserve">Mahkamah Konstitusi Republik Indonesia (MKRI). (2012). </w:t>
      </w:r>
      <w:r w:rsidRPr="00BF23F7">
        <w:rPr>
          <w:rFonts w:ascii="Times New Roman" w:eastAsia="Times New Roman" w:hAnsi="Times New Roman" w:cs="Times New Roman"/>
          <w:i/>
          <w:iCs/>
          <w:sz w:val="24"/>
          <w:szCs w:val="24"/>
          <w:lang w:val="id-ID" w:eastAsia="zh-TW"/>
        </w:rPr>
        <w:t>Putusan Judicial Review UU Intelijen Negara</w:t>
      </w:r>
      <w:r w:rsidRPr="00BF23F7">
        <w:rPr>
          <w:rFonts w:ascii="Times New Roman" w:eastAsia="Times New Roman" w:hAnsi="Times New Roman" w:cs="Times New Roman"/>
          <w:sz w:val="24"/>
          <w:szCs w:val="24"/>
          <w:lang w:val="id-ID" w:eastAsia="zh-TW"/>
        </w:rPr>
        <w:t>. Jakarta: MKRI.</w:t>
      </w:r>
    </w:p>
    <w:p w14:paraId="22DEAF59" w14:textId="77777777" w:rsidR="00425E91" w:rsidRPr="00BF23F7" w:rsidRDefault="00425E91" w:rsidP="00425E91">
      <w:pPr>
        <w:spacing w:after="0" w:line="240" w:lineRule="auto"/>
        <w:ind w:left="709" w:hanging="709"/>
        <w:jc w:val="both"/>
        <w:rPr>
          <w:rFonts w:ascii="Times New Roman" w:eastAsia="Times New Roman" w:hAnsi="Times New Roman" w:cs="Times New Roman"/>
          <w:sz w:val="24"/>
          <w:szCs w:val="24"/>
          <w:lang w:val="id-ID" w:eastAsia="zh-TW"/>
        </w:rPr>
      </w:pPr>
      <w:r w:rsidRPr="00BF23F7">
        <w:rPr>
          <w:rFonts w:ascii="Times New Roman" w:eastAsia="Times New Roman" w:hAnsi="Times New Roman" w:cs="Times New Roman"/>
          <w:sz w:val="24"/>
          <w:szCs w:val="24"/>
          <w:lang w:val="id-ID" w:eastAsia="zh-TW"/>
        </w:rPr>
        <w:t xml:space="preserve">Morgenthau, H. J. (1948). </w:t>
      </w:r>
      <w:r w:rsidRPr="00BF23F7">
        <w:rPr>
          <w:rFonts w:ascii="Times New Roman" w:eastAsia="Times New Roman" w:hAnsi="Times New Roman" w:cs="Times New Roman"/>
          <w:i/>
          <w:iCs/>
          <w:sz w:val="24"/>
          <w:szCs w:val="24"/>
          <w:lang w:val="id-ID" w:eastAsia="zh-TW"/>
        </w:rPr>
        <w:t>Politics Among Nations: The Struggle for Power and Peace</w:t>
      </w:r>
      <w:r w:rsidRPr="00BF23F7">
        <w:rPr>
          <w:rFonts w:ascii="Times New Roman" w:eastAsia="Times New Roman" w:hAnsi="Times New Roman" w:cs="Times New Roman"/>
          <w:sz w:val="24"/>
          <w:szCs w:val="24"/>
          <w:lang w:val="id-ID" w:eastAsia="zh-TW"/>
        </w:rPr>
        <w:t>. New York: Knopf.</w:t>
      </w:r>
    </w:p>
    <w:p w14:paraId="53F9A9FF" w14:textId="77777777" w:rsidR="00425E91" w:rsidRPr="00BF23F7" w:rsidRDefault="00425E91" w:rsidP="00425E91">
      <w:pPr>
        <w:spacing w:after="0" w:line="240" w:lineRule="auto"/>
        <w:ind w:left="709" w:hanging="709"/>
        <w:jc w:val="both"/>
        <w:rPr>
          <w:rFonts w:ascii="Times New Roman" w:eastAsia="Times New Roman" w:hAnsi="Times New Roman" w:cs="Times New Roman"/>
          <w:sz w:val="24"/>
          <w:szCs w:val="24"/>
          <w:lang w:val="id-ID" w:eastAsia="zh-TW"/>
        </w:rPr>
      </w:pPr>
      <w:r w:rsidRPr="00BF23F7">
        <w:rPr>
          <w:rFonts w:ascii="Times New Roman" w:eastAsia="Times New Roman" w:hAnsi="Times New Roman" w:cs="Times New Roman"/>
          <w:sz w:val="24"/>
          <w:szCs w:val="24"/>
          <w:lang w:val="id-ID" w:eastAsia="zh-TW"/>
        </w:rPr>
        <w:t xml:space="preserve">Muladi. (2004). </w:t>
      </w:r>
      <w:r w:rsidRPr="00BF23F7">
        <w:rPr>
          <w:rFonts w:ascii="Times New Roman" w:eastAsia="Times New Roman" w:hAnsi="Times New Roman" w:cs="Times New Roman"/>
          <w:i/>
          <w:iCs/>
          <w:sz w:val="24"/>
          <w:szCs w:val="24"/>
          <w:lang w:val="id-ID" w:eastAsia="zh-TW"/>
        </w:rPr>
        <w:t>Politik Hukum Nasional</w:t>
      </w:r>
      <w:r w:rsidRPr="00BF23F7">
        <w:rPr>
          <w:rFonts w:ascii="Times New Roman" w:eastAsia="Times New Roman" w:hAnsi="Times New Roman" w:cs="Times New Roman"/>
          <w:sz w:val="24"/>
          <w:szCs w:val="24"/>
          <w:lang w:val="id-ID" w:eastAsia="zh-TW"/>
        </w:rPr>
        <w:t>. Jakarta: UI Press.</w:t>
      </w:r>
    </w:p>
    <w:p w14:paraId="2BFB6C1C" w14:textId="378DD891" w:rsidR="00425E91" w:rsidRPr="00BF23F7" w:rsidRDefault="00425E91" w:rsidP="00425E91">
      <w:pPr>
        <w:spacing w:after="0" w:line="240" w:lineRule="auto"/>
        <w:ind w:left="709" w:hanging="709"/>
        <w:jc w:val="both"/>
        <w:rPr>
          <w:rFonts w:ascii="Times New Roman" w:eastAsia="Times New Roman" w:hAnsi="Times New Roman" w:cs="Times New Roman"/>
          <w:sz w:val="24"/>
          <w:szCs w:val="24"/>
          <w:lang w:val="id-ID" w:eastAsia="zh-TW"/>
        </w:rPr>
      </w:pPr>
      <w:r w:rsidRPr="00BF23F7">
        <w:rPr>
          <w:rFonts w:ascii="Times New Roman" w:eastAsia="Times New Roman" w:hAnsi="Times New Roman" w:cs="Times New Roman"/>
          <w:sz w:val="24"/>
          <w:szCs w:val="24"/>
          <w:lang w:val="id-ID" w:eastAsia="zh-TW"/>
        </w:rPr>
        <w:t xml:space="preserve">Nashidik, R. (2005). </w:t>
      </w:r>
      <w:r w:rsidRPr="004A17EE">
        <w:rPr>
          <w:rFonts w:ascii="Times New Roman" w:eastAsia="Times New Roman" w:hAnsi="Times New Roman" w:cs="Times New Roman"/>
          <w:i/>
          <w:iCs/>
          <w:sz w:val="24"/>
          <w:szCs w:val="24"/>
          <w:lang w:val="id-ID" w:eastAsia="zh-TW"/>
        </w:rPr>
        <w:t xml:space="preserve">BIN dan </w:t>
      </w:r>
      <w:r w:rsidR="004A17EE" w:rsidRPr="004A17EE">
        <w:rPr>
          <w:rFonts w:ascii="Times New Roman" w:eastAsia="Times New Roman" w:hAnsi="Times New Roman" w:cs="Times New Roman"/>
          <w:i/>
          <w:iCs/>
          <w:sz w:val="24"/>
          <w:szCs w:val="24"/>
          <w:lang w:val="id-ID" w:eastAsia="zh-TW"/>
        </w:rPr>
        <w:t>K</w:t>
      </w:r>
      <w:r w:rsidRPr="004A17EE">
        <w:rPr>
          <w:rFonts w:ascii="Times New Roman" w:eastAsia="Times New Roman" w:hAnsi="Times New Roman" w:cs="Times New Roman"/>
          <w:i/>
          <w:iCs/>
          <w:sz w:val="24"/>
          <w:szCs w:val="24"/>
          <w:lang w:val="id-ID" w:eastAsia="zh-TW"/>
        </w:rPr>
        <w:t xml:space="preserve">ebebasan </w:t>
      </w:r>
      <w:r w:rsidR="004A17EE" w:rsidRPr="004A17EE">
        <w:rPr>
          <w:rFonts w:ascii="Times New Roman" w:eastAsia="Times New Roman" w:hAnsi="Times New Roman" w:cs="Times New Roman"/>
          <w:i/>
          <w:iCs/>
          <w:sz w:val="24"/>
          <w:szCs w:val="24"/>
          <w:lang w:val="id-ID" w:eastAsia="zh-TW"/>
        </w:rPr>
        <w:t>P</w:t>
      </w:r>
      <w:r w:rsidRPr="004A17EE">
        <w:rPr>
          <w:rFonts w:ascii="Times New Roman" w:eastAsia="Times New Roman" w:hAnsi="Times New Roman" w:cs="Times New Roman"/>
          <w:i/>
          <w:iCs/>
          <w:sz w:val="24"/>
          <w:szCs w:val="24"/>
          <w:lang w:val="id-ID" w:eastAsia="zh-TW"/>
        </w:rPr>
        <w:t>olitik di Indonesia</w:t>
      </w:r>
      <w:r w:rsidRPr="00BF23F7">
        <w:rPr>
          <w:rFonts w:ascii="Times New Roman" w:eastAsia="Times New Roman" w:hAnsi="Times New Roman" w:cs="Times New Roman"/>
          <w:sz w:val="24"/>
          <w:szCs w:val="24"/>
          <w:lang w:val="id-ID" w:eastAsia="zh-TW"/>
        </w:rPr>
        <w:t>. Jakarta: Imparsial.</w:t>
      </w:r>
    </w:p>
    <w:p w14:paraId="676F4B28" w14:textId="77777777" w:rsidR="00425E91" w:rsidRPr="00BF23F7" w:rsidRDefault="00425E91" w:rsidP="00425E91">
      <w:pPr>
        <w:spacing w:after="0" w:line="240" w:lineRule="auto"/>
        <w:ind w:left="709" w:hanging="709"/>
        <w:jc w:val="both"/>
        <w:rPr>
          <w:rFonts w:ascii="Times New Roman" w:eastAsia="Times New Roman" w:hAnsi="Times New Roman" w:cs="Times New Roman"/>
          <w:sz w:val="24"/>
          <w:szCs w:val="24"/>
          <w:lang w:val="id-ID" w:eastAsia="zh-TW"/>
        </w:rPr>
      </w:pPr>
      <w:r w:rsidRPr="00BF23F7">
        <w:rPr>
          <w:rFonts w:ascii="Times New Roman" w:eastAsia="Times New Roman" w:hAnsi="Times New Roman" w:cs="Times New Roman"/>
          <w:sz w:val="24"/>
          <w:szCs w:val="24"/>
          <w:lang w:val="id-ID" w:eastAsia="zh-TW"/>
        </w:rPr>
        <w:t>National Security Act of 1947 (United States).</w:t>
      </w:r>
    </w:p>
    <w:p w14:paraId="33A32755" w14:textId="77777777" w:rsidR="00425E91" w:rsidRDefault="00425E91" w:rsidP="00425E91">
      <w:pPr>
        <w:spacing w:after="0" w:line="240" w:lineRule="auto"/>
        <w:ind w:left="709" w:hanging="709"/>
        <w:jc w:val="both"/>
        <w:rPr>
          <w:rFonts w:ascii="Times New Roman" w:eastAsia="Times New Roman" w:hAnsi="Times New Roman" w:cs="Times New Roman"/>
          <w:sz w:val="24"/>
          <w:szCs w:val="24"/>
          <w:lang w:val="id-ID" w:eastAsia="zh-TW"/>
        </w:rPr>
      </w:pPr>
      <w:r w:rsidRPr="00BF23F7">
        <w:rPr>
          <w:rFonts w:ascii="Times New Roman" w:eastAsia="Times New Roman" w:hAnsi="Times New Roman" w:cs="Times New Roman"/>
          <w:sz w:val="24"/>
          <w:szCs w:val="24"/>
          <w:lang w:val="id-ID" w:eastAsia="zh-TW"/>
        </w:rPr>
        <w:t xml:space="preserve">Nugroho, R. (2014). </w:t>
      </w:r>
      <w:r w:rsidRPr="00BF23F7">
        <w:rPr>
          <w:rFonts w:ascii="Times New Roman" w:eastAsia="Times New Roman" w:hAnsi="Times New Roman" w:cs="Times New Roman"/>
          <w:i/>
          <w:iCs/>
          <w:sz w:val="24"/>
          <w:szCs w:val="24"/>
          <w:lang w:val="id-ID" w:eastAsia="zh-TW"/>
        </w:rPr>
        <w:t>National Security Policy</w:t>
      </w:r>
      <w:r w:rsidRPr="00BF23F7">
        <w:rPr>
          <w:rFonts w:ascii="Times New Roman" w:eastAsia="Times New Roman" w:hAnsi="Times New Roman" w:cs="Times New Roman"/>
          <w:sz w:val="24"/>
          <w:szCs w:val="24"/>
          <w:lang w:val="id-ID" w:eastAsia="zh-TW"/>
        </w:rPr>
        <w:t>. Yogyakarta: Pustaka Pelajar.</w:t>
      </w:r>
    </w:p>
    <w:p w14:paraId="1528ADA4" w14:textId="77777777" w:rsidR="00425E91" w:rsidRDefault="00425E91" w:rsidP="00425E91">
      <w:pPr>
        <w:spacing w:after="0" w:line="240" w:lineRule="auto"/>
        <w:ind w:left="709" w:hanging="709"/>
        <w:jc w:val="both"/>
        <w:rPr>
          <w:rFonts w:ascii="Times New Roman" w:eastAsia="Times New Roman" w:hAnsi="Times New Roman" w:cs="Times New Roman"/>
          <w:sz w:val="24"/>
          <w:szCs w:val="24"/>
          <w:lang w:eastAsia="zh-TW"/>
        </w:rPr>
      </w:pPr>
      <w:r w:rsidRPr="00280AA9">
        <w:rPr>
          <w:rFonts w:ascii="Times New Roman" w:eastAsia="Times New Roman" w:hAnsi="Times New Roman" w:cs="Times New Roman"/>
          <w:sz w:val="24"/>
          <w:szCs w:val="24"/>
          <w:lang w:val="id-ID" w:eastAsia="zh-TW"/>
        </w:rPr>
        <w:t>Perwita,</w:t>
      </w:r>
      <w:r>
        <w:rPr>
          <w:rFonts w:ascii="Times New Roman" w:eastAsia="Times New Roman" w:hAnsi="Times New Roman" w:cs="Times New Roman"/>
          <w:sz w:val="24"/>
          <w:szCs w:val="24"/>
          <w:lang w:eastAsia="zh-TW"/>
        </w:rPr>
        <w:t xml:space="preserve"> A.A.B. (2004).</w:t>
      </w:r>
      <w:r w:rsidRPr="00280AA9">
        <w:rPr>
          <w:rFonts w:ascii="Times New Roman" w:eastAsia="Times New Roman" w:hAnsi="Times New Roman" w:cs="Times New Roman"/>
          <w:sz w:val="24"/>
          <w:szCs w:val="24"/>
          <w:lang w:val="id-ID" w:eastAsia="zh-TW"/>
        </w:rPr>
        <w:t xml:space="preserve"> </w:t>
      </w:r>
      <w:r w:rsidRPr="005C3208">
        <w:rPr>
          <w:rFonts w:ascii="Times New Roman" w:eastAsia="Times New Roman" w:hAnsi="Times New Roman" w:cs="Times New Roman"/>
          <w:i/>
          <w:iCs/>
          <w:sz w:val="24"/>
          <w:szCs w:val="24"/>
          <w:lang w:val="id-ID" w:eastAsia="zh-TW"/>
        </w:rPr>
        <w:t>Hakekat Prinsip dan Tujuan Pertahanan-Keamanan Negara dalam Keamanan, Demokrasi dan Pemilu 2004</w:t>
      </w:r>
      <w:r>
        <w:rPr>
          <w:rFonts w:ascii="Times New Roman" w:eastAsia="Times New Roman" w:hAnsi="Times New Roman" w:cs="Times New Roman"/>
          <w:sz w:val="24"/>
          <w:szCs w:val="24"/>
          <w:lang w:eastAsia="zh-TW"/>
        </w:rPr>
        <w:t xml:space="preserve">. </w:t>
      </w:r>
      <w:r w:rsidRPr="00280AA9">
        <w:rPr>
          <w:rFonts w:ascii="Times New Roman" w:eastAsia="Times New Roman" w:hAnsi="Times New Roman" w:cs="Times New Roman"/>
          <w:sz w:val="24"/>
          <w:szCs w:val="24"/>
          <w:lang w:val="id-ID" w:eastAsia="zh-TW"/>
        </w:rPr>
        <w:t>Jakarta: Propatria</w:t>
      </w:r>
      <w:r>
        <w:rPr>
          <w:rFonts w:ascii="Times New Roman" w:eastAsia="Times New Roman" w:hAnsi="Times New Roman" w:cs="Times New Roman"/>
          <w:sz w:val="24"/>
          <w:szCs w:val="24"/>
          <w:lang w:eastAsia="zh-TW"/>
        </w:rPr>
        <w:t>.</w:t>
      </w:r>
    </w:p>
    <w:p w14:paraId="549A242D" w14:textId="77777777" w:rsidR="00425E91" w:rsidRPr="005C3208" w:rsidRDefault="00425E91" w:rsidP="00425E91">
      <w:pPr>
        <w:spacing w:after="0" w:line="240" w:lineRule="auto"/>
        <w:ind w:left="709" w:hanging="709"/>
        <w:jc w:val="both"/>
        <w:rPr>
          <w:rFonts w:ascii="Times New Roman" w:eastAsia="Times New Roman" w:hAnsi="Times New Roman" w:cs="Times New Roman"/>
          <w:sz w:val="24"/>
          <w:szCs w:val="24"/>
          <w:lang w:eastAsia="zh-TW"/>
        </w:rPr>
      </w:pPr>
      <w:r w:rsidRPr="00C023A2">
        <w:rPr>
          <w:rFonts w:ascii="Times New Roman" w:eastAsia="Times New Roman" w:hAnsi="Times New Roman" w:cs="Times New Roman"/>
          <w:sz w:val="24"/>
          <w:szCs w:val="24"/>
          <w:lang w:eastAsia="zh-TW"/>
        </w:rPr>
        <w:t xml:space="preserve">Schmitt, Carl. </w:t>
      </w:r>
      <w:r>
        <w:rPr>
          <w:rFonts w:ascii="Times New Roman" w:eastAsia="Times New Roman" w:hAnsi="Times New Roman" w:cs="Times New Roman"/>
          <w:sz w:val="24"/>
          <w:szCs w:val="24"/>
          <w:lang w:eastAsia="zh-TW"/>
        </w:rPr>
        <w:t xml:space="preserve">(2008). </w:t>
      </w:r>
      <w:r w:rsidRPr="00345597">
        <w:rPr>
          <w:rFonts w:ascii="Times New Roman" w:eastAsia="Times New Roman" w:hAnsi="Times New Roman" w:cs="Times New Roman"/>
          <w:i/>
          <w:iCs/>
          <w:sz w:val="24"/>
          <w:szCs w:val="24"/>
          <w:lang w:eastAsia="zh-TW"/>
        </w:rPr>
        <w:t>Constitutional Theory</w:t>
      </w:r>
      <w:r w:rsidRPr="00C023A2">
        <w:rPr>
          <w:rFonts w:ascii="Times New Roman" w:eastAsia="Times New Roman" w:hAnsi="Times New Roman" w:cs="Times New Roman"/>
          <w:sz w:val="24"/>
          <w:szCs w:val="24"/>
          <w:lang w:eastAsia="zh-TW"/>
        </w:rPr>
        <w:t>. London: Duke University Press</w:t>
      </w:r>
      <w:r>
        <w:rPr>
          <w:rFonts w:ascii="Times New Roman" w:eastAsia="Times New Roman" w:hAnsi="Times New Roman" w:cs="Times New Roman"/>
          <w:sz w:val="24"/>
          <w:szCs w:val="24"/>
          <w:lang w:eastAsia="zh-TW"/>
        </w:rPr>
        <w:t>.</w:t>
      </w:r>
    </w:p>
    <w:p w14:paraId="386AA3A5" w14:textId="77777777" w:rsidR="00425E91" w:rsidRPr="00BF23F7" w:rsidRDefault="00425E91" w:rsidP="00425E91">
      <w:pPr>
        <w:spacing w:after="0" w:line="240" w:lineRule="auto"/>
        <w:ind w:left="709" w:hanging="709"/>
        <w:jc w:val="both"/>
        <w:rPr>
          <w:rFonts w:ascii="Times New Roman" w:eastAsia="Times New Roman" w:hAnsi="Times New Roman" w:cs="Times New Roman"/>
          <w:sz w:val="24"/>
          <w:szCs w:val="24"/>
          <w:lang w:val="id-ID" w:eastAsia="zh-TW"/>
        </w:rPr>
      </w:pPr>
      <w:r w:rsidRPr="00BF23F7">
        <w:rPr>
          <w:rFonts w:ascii="Times New Roman" w:eastAsia="Times New Roman" w:hAnsi="Times New Roman" w:cs="Times New Roman"/>
          <w:sz w:val="24"/>
          <w:szCs w:val="24"/>
          <w:lang w:val="id-ID" w:eastAsia="zh-TW"/>
        </w:rPr>
        <w:t xml:space="preserve">Salim, H. S. (2009). </w:t>
      </w:r>
      <w:r w:rsidRPr="00BF23F7">
        <w:rPr>
          <w:rFonts w:ascii="Times New Roman" w:eastAsia="Times New Roman" w:hAnsi="Times New Roman" w:cs="Times New Roman"/>
          <w:i/>
          <w:iCs/>
          <w:sz w:val="24"/>
          <w:szCs w:val="24"/>
          <w:lang w:val="id-ID" w:eastAsia="zh-TW"/>
        </w:rPr>
        <w:t>Hukum Tata Negara dan Politik di Indonesia</w:t>
      </w:r>
      <w:r w:rsidRPr="00BF23F7">
        <w:rPr>
          <w:rFonts w:ascii="Times New Roman" w:eastAsia="Times New Roman" w:hAnsi="Times New Roman" w:cs="Times New Roman"/>
          <w:sz w:val="24"/>
          <w:szCs w:val="24"/>
          <w:lang w:val="id-ID" w:eastAsia="zh-TW"/>
        </w:rPr>
        <w:t>. Jakarta: Raja Grafindo Persada.</w:t>
      </w:r>
    </w:p>
    <w:p w14:paraId="6E14CDDA" w14:textId="77777777" w:rsidR="00425E91" w:rsidRDefault="00425E91" w:rsidP="00425E91">
      <w:pPr>
        <w:spacing w:after="0" w:line="240" w:lineRule="auto"/>
        <w:ind w:left="709" w:hanging="709"/>
        <w:jc w:val="both"/>
        <w:rPr>
          <w:rFonts w:ascii="Times New Roman" w:eastAsia="Times New Roman" w:hAnsi="Times New Roman" w:cs="Times New Roman"/>
          <w:sz w:val="24"/>
          <w:szCs w:val="24"/>
          <w:lang w:val="id-ID" w:eastAsia="zh-TW"/>
        </w:rPr>
      </w:pPr>
      <w:r w:rsidRPr="00BF23F7">
        <w:rPr>
          <w:rFonts w:ascii="Times New Roman" w:eastAsia="Times New Roman" w:hAnsi="Times New Roman" w:cs="Times New Roman"/>
          <w:sz w:val="24"/>
          <w:szCs w:val="24"/>
          <w:lang w:val="id-ID" w:eastAsia="zh-TW"/>
        </w:rPr>
        <w:t xml:space="preserve">Santoso, T. (2001). </w:t>
      </w:r>
      <w:r w:rsidRPr="00BF23F7">
        <w:rPr>
          <w:rFonts w:ascii="Times New Roman" w:eastAsia="Times New Roman" w:hAnsi="Times New Roman" w:cs="Times New Roman"/>
          <w:i/>
          <w:iCs/>
          <w:sz w:val="24"/>
          <w:szCs w:val="24"/>
          <w:lang w:val="id-ID" w:eastAsia="zh-TW"/>
        </w:rPr>
        <w:t>Keamanan dan HAM</w:t>
      </w:r>
      <w:r w:rsidRPr="00BF23F7">
        <w:rPr>
          <w:rFonts w:ascii="Times New Roman" w:eastAsia="Times New Roman" w:hAnsi="Times New Roman" w:cs="Times New Roman"/>
          <w:sz w:val="24"/>
          <w:szCs w:val="24"/>
          <w:lang w:val="id-ID" w:eastAsia="zh-TW"/>
        </w:rPr>
        <w:t>. Jakarta: ELSAM.</w:t>
      </w:r>
    </w:p>
    <w:p w14:paraId="2F2A0707" w14:textId="77777777" w:rsidR="00425E91" w:rsidRPr="00E83C77" w:rsidRDefault="00425E91" w:rsidP="00425E91">
      <w:pPr>
        <w:spacing w:after="0" w:line="240" w:lineRule="auto"/>
        <w:ind w:left="709" w:hanging="709"/>
        <w:jc w:val="both"/>
        <w:rPr>
          <w:rFonts w:ascii="Times New Roman" w:eastAsia="Times New Roman" w:hAnsi="Times New Roman" w:cs="Times New Roman"/>
          <w:sz w:val="24"/>
          <w:szCs w:val="24"/>
          <w:lang w:eastAsia="zh-TW"/>
        </w:rPr>
      </w:pPr>
      <w:r w:rsidRPr="007429DF">
        <w:rPr>
          <w:rFonts w:ascii="Times New Roman" w:eastAsia="Times New Roman" w:hAnsi="Times New Roman" w:cs="Times New Roman"/>
          <w:sz w:val="24"/>
          <w:szCs w:val="24"/>
          <w:lang w:val="id-ID" w:eastAsia="zh-TW"/>
        </w:rPr>
        <w:t xml:space="preserve">Soekanto, </w:t>
      </w:r>
      <w:r>
        <w:rPr>
          <w:rFonts w:ascii="Times New Roman" w:eastAsia="Times New Roman" w:hAnsi="Times New Roman" w:cs="Times New Roman"/>
          <w:sz w:val="24"/>
          <w:szCs w:val="24"/>
          <w:lang w:eastAsia="zh-TW"/>
        </w:rPr>
        <w:t xml:space="preserve">S. (1986). </w:t>
      </w:r>
      <w:r w:rsidRPr="00E83C77">
        <w:rPr>
          <w:rFonts w:ascii="Times New Roman" w:eastAsia="Times New Roman" w:hAnsi="Times New Roman" w:cs="Times New Roman"/>
          <w:i/>
          <w:iCs/>
          <w:sz w:val="24"/>
          <w:szCs w:val="24"/>
          <w:lang w:val="id-ID" w:eastAsia="zh-TW"/>
        </w:rPr>
        <w:t>Pengantar Penelitian Hukum</w:t>
      </w:r>
      <w:r>
        <w:rPr>
          <w:rFonts w:ascii="Times New Roman" w:eastAsia="Times New Roman" w:hAnsi="Times New Roman" w:cs="Times New Roman"/>
          <w:sz w:val="24"/>
          <w:szCs w:val="24"/>
          <w:lang w:eastAsia="zh-TW"/>
        </w:rPr>
        <w:t>.</w:t>
      </w:r>
      <w:r w:rsidRPr="007429DF">
        <w:rPr>
          <w:rFonts w:ascii="Times New Roman" w:eastAsia="Times New Roman" w:hAnsi="Times New Roman" w:cs="Times New Roman"/>
          <w:sz w:val="24"/>
          <w:szCs w:val="24"/>
          <w:lang w:val="id-ID" w:eastAsia="zh-TW"/>
        </w:rPr>
        <w:t xml:space="preserve"> Jakarta</w:t>
      </w:r>
      <w:r>
        <w:rPr>
          <w:rFonts w:ascii="Times New Roman" w:eastAsia="Times New Roman" w:hAnsi="Times New Roman" w:cs="Times New Roman"/>
          <w:sz w:val="24"/>
          <w:szCs w:val="24"/>
          <w:lang w:eastAsia="zh-TW"/>
        </w:rPr>
        <w:t xml:space="preserve">: </w:t>
      </w:r>
      <w:r w:rsidRPr="007429DF">
        <w:rPr>
          <w:rFonts w:ascii="Times New Roman" w:eastAsia="Times New Roman" w:hAnsi="Times New Roman" w:cs="Times New Roman"/>
          <w:sz w:val="24"/>
          <w:szCs w:val="24"/>
          <w:lang w:val="id-ID" w:eastAsia="zh-TW"/>
        </w:rPr>
        <w:t>Universitas Indonesia</w:t>
      </w:r>
      <w:r>
        <w:rPr>
          <w:rFonts w:ascii="Times New Roman" w:eastAsia="Times New Roman" w:hAnsi="Times New Roman" w:cs="Times New Roman"/>
          <w:sz w:val="24"/>
          <w:szCs w:val="24"/>
          <w:lang w:eastAsia="zh-TW"/>
        </w:rPr>
        <w:t>.</w:t>
      </w:r>
    </w:p>
    <w:p w14:paraId="7A5C617E" w14:textId="77777777" w:rsidR="00425E91" w:rsidRPr="00BF23F7" w:rsidRDefault="00425E91" w:rsidP="00425E91">
      <w:pPr>
        <w:spacing w:after="0" w:line="240" w:lineRule="auto"/>
        <w:ind w:left="709" w:hanging="709"/>
        <w:jc w:val="both"/>
        <w:rPr>
          <w:rFonts w:ascii="Times New Roman" w:eastAsia="Times New Roman" w:hAnsi="Times New Roman" w:cs="Times New Roman"/>
          <w:i/>
          <w:iCs/>
          <w:sz w:val="24"/>
          <w:szCs w:val="24"/>
          <w:lang w:val="id-ID" w:eastAsia="zh-TW"/>
        </w:rPr>
      </w:pPr>
      <w:r w:rsidRPr="00BF23F7">
        <w:rPr>
          <w:rFonts w:ascii="Times New Roman" w:eastAsia="Times New Roman" w:hAnsi="Times New Roman" w:cs="Times New Roman"/>
          <w:i/>
          <w:iCs/>
          <w:sz w:val="24"/>
          <w:szCs w:val="24"/>
          <w:lang w:val="id-ID" w:eastAsia="zh-TW"/>
        </w:rPr>
        <w:t>Undang-Undang Dasar Negara Republik Indonesia Tahun 1945.</w:t>
      </w:r>
    </w:p>
    <w:p w14:paraId="451529B1" w14:textId="77777777" w:rsidR="00425E91" w:rsidRPr="00BF23F7" w:rsidRDefault="00425E91" w:rsidP="00425E91">
      <w:pPr>
        <w:spacing w:after="0" w:line="240" w:lineRule="auto"/>
        <w:ind w:left="709" w:hanging="709"/>
        <w:jc w:val="both"/>
        <w:rPr>
          <w:rFonts w:ascii="Times New Roman" w:eastAsia="Times New Roman" w:hAnsi="Times New Roman" w:cs="Times New Roman"/>
          <w:i/>
          <w:iCs/>
          <w:sz w:val="24"/>
          <w:szCs w:val="24"/>
          <w:lang w:val="id-ID" w:eastAsia="zh-TW"/>
        </w:rPr>
      </w:pPr>
      <w:r w:rsidRPr="00BF23F7">
        <w:rPr>
          <w:rFonts w:ascii="Times New Roman" w:eastAsia="Times New Roman" w:hAnsi="Times New Roman" w:cs="Times New Roman"/>
          <w:i/>
          <w:iCs/>
          <w:sz w:val="24"/>
          <w:szCs w:val="24"/>
          <w:lang w:val="id-ID" w:eastAsia="zh-TW"/>
        </w:rPr>
        <w:t>Undang-Undang Nomor 11 Tahun 2008 tentang Informasi dan Transaksi Elektronik jo. UU Nomor 19 Tahun 2016.</w:t>
      </w:r>
    </w:p>
    <w:p w14:paraId="57ED3C26" w14:textId="77777777" w:rsidR="00425E91" w:rsidRPr="00BF23F7" w:rsidRDefault="00425E91" w:rsidP="00425E91">
      <w:pPr>
        <w:spacing w:after="0" w:line="240" w:lineRule="auto"/>
        <w:ind w:left="709" w:hanging="709"/>
        <w:jc w:val="both"/>
        <w:rPr>
          <w:rFonts w:ascii="Times New Roman" w:eastAsia="Times New Roman" w:hAnsi="Times New Roman" w:cs="Times New Roman"/>
          <w:i/>
          <w:iCs/>
          <w:sz w:val="24"/>
          <w:szCs w:val="24"/>
          <w:lang w:val="id-ID" w:eastAsia="zh-TW"/>
        </w:rPr>
      </w:pPr>
      <w:r w:rsidRPr="00BF23F7">
        <w:rPr>
          <w:rFonts w:ascii="Times New Roman" w:eastAsia="Times New Roman" w:hAnsi="Times New Roman" w:cs="Times New Roman"/>
          <w:i/>
          <w:iCs/>
          <w:sz w:val="24"/>
          <w:szCs w:val="24"/>
          <w:lang w:val="id-ID" w:eastAsia="zh-TW"/>
        </w:rPr>
        <w:t>Undang-Undang Nomor 14 Tahun 2008 tentang Keterbukaan Informasi Publik.</w:t>
      </w:r>
    </w:p>
    <w:p w14:paraId="43295745" w14:textId="77777777" w:rsidR="00425E91" w:rsidRPr="00BF23F7" w:rsidRDefault="00425E91" w:rsidP="00425E91">
      <w:pPr>
        <w:spacing w:after="0" w:line="240" w:lineRule="auto"/>
        <w:ind w:left="709" w:hanging="709"/>
        <w:jc w:val="both"/>
        <w:rPr>
          <w:rFonts w:ascii="Times New Roman" w:eastAsia="Times New Roman" w:hAnsi="Times New Roman" w:cs="Times New Roman"/>
          <w:i/>
          <w:iCs/>
          <w:sz w:val="24"/>
          <w:szCs w:val="24"/>
          <w:lang w:val="id-ID" w:eastAsia="zh-TW"/>
        </w:rPr>
      </w:pPr>
      <w:r w:rsidRPr="00BF23F7">
        <w:rPr>
          <w:rFonts w:ascii="Times New Roman" w:eastAsia="Times New Roman" w:hAnsi="Times New Roman" w:cs="Times New Roman"/>
          <w:i/>
          <w:iCs/>
          <w:sz w:val="24"/>
          <w:szCs w:val="24"/>
          <w:lang w:val="id-ID" w:eastAsia="zh-TW"/>
        </w:rPr>
        <w:t>Undang-Undang Nomor 17 Tahun 2011 tentang Intelijen Negara.</w:t>
      </w:r>
    </w:p>
    <w:p w14:paraId="2405C743" w14:textId="77777777" w:rsidR="00425E91" w:rsidRPr="00BF23F7" w:rsidRDefault="00425E91" w:rsidP="00425E91">
      <w:pPr>
        <w:spacing w:after="0" w:line="240" w:lineRule="auto"/>
        <w:ind w:left="709" w:hanging="709"/>
        <w:jc w:val="both"/>
        <w:rPr>
          <w:rFonts w:ascii="Times New Roman" w:eastAsia="Times New Roman" w:hAnsi="Times New Roman" w:cs="Times New Roman"/>
          <w:i/>
          <w:iCs/>
          <w:sz w:val="24"/>
          <w:szCs w:val="24"/>
          <w:lang w:val="id-ID" w:eastAsia="zh-TW"/>
        </w:rPr>
      </w:pPr>
      <w:r w:rsidRPr="00BF23F7">
        <w:rPr>
          <w:rFonts w:ascii="Times New Roman" w:eastAsia="Times New Roman" w:hAnsi="Times New Roman" w:cs="Times New Roman"/>
          <w:i/>
          <w:iCs/>
          <w:sz w:val="24"/>
          <w:szCs w:val="24"/>
          <w:lang w:val="id-ID" w:eastAsia="zh-TW"/>
        </w:rPr>
        <w:t>Undang-Undang Nomor 2 Tahun 2002 tentang Kepolisian Negara Republik Indonesia.</w:t>
      </w:r>
    </w:p>
    <w:p w14:paraId="0CBA1CFA" w14:textId="77777777" w:rsidR="00425E91" w:rsidRPr="00BF23F7" w:rsidRDefault="00425E91" w:rsidP="00425E91">
      <w:pPr>
        <w:spacing w:after="0" w:line="240" w:lineRule="auto"/>
        <w:ind w:left="709" w:hanging="709"/>
        <w:jc w:val="both"/>
        <w:rPr>
          <w:rFonts w:ascii="Times New Roman" w:eastAsia="Times New Roman" w:hAnsi="Times New Roman" w:cs="Times New Roman"/>
          <w:i/>
          <w:iCs/>
          <w:sz w:val="24"/>
          <w:szCs w:val="24"/>
          <w:lang w:val="id-ID" w:eastAsia="zh-TW"/>
        </w:rPr>
      </w:pPr>
      <w:r w:rsidRPr="00BF23F7">
        <w:rPr>
          <w:rFonts w:ascii="Times New Roman" w:eastAsia="Times New Roman" w:hAnsi="Times New Roman" w:cs="Times New Roman"/>
          <w:i/>
          <w:iCs/>
          <w:sz w:val="24"/>
          <w:szCs w:val="24"/>
          <w:lang w:val="id-ID" w:eastAsia="zh-TW"/>
        </w:rPr>
        <w:t>Undang-Undang Nomor 34 Tahun 2004 tentang Tentara Nasional Indonesia.</w:t>
      </w:r>
    </w:p>
    <w:p w14:paraId="5AF648CF" w14:textId="77777777" w:rsidR="00425E91" w:rsidRPr="00BF23F7" w:rsidRDefault="00425E91" w:rsidP="00425E91">
      <w:pPr>
        <w:spacing w:after="0" w:line="240" w:lineRule="auto"/>
        <w:ind w:left="709" w:hanging="709"/>
        <w:jc w:val="both"/>
        <w:rPr>
          <w:rFonts w:ascii="Times New Roman" w:eastAsia="Times New Roman" w:hAnsi="Times New Roman" w:cs="Times New Roman"/>
          <w:i/>
          <w:iCs/>
          <w:sz w:val="24"/>
          <w:szCs w:val="24"/>
          <w:lang w:val="id-ID" w:eastAsia="zh-TW"/>
        </w:rPr>
      </w:pPr>
      <w:r w:rsidRPr="00BF23F7">
        <w:rPr>
          <w:rFonts w:ascii="Times New Roman" w:eastAsia="Times New Roman" w:hAnsi="Times New Roman" w:cs="Times New Roman"/>
          <w:i/>
          <w:iCs/>
          <w:sz w:val="24"/>
          <w:szCs w:val="24"/>
          <w:lang w:val="id-ID" w:eastAsia="zh-TW"/>
        </w:rPr>
        <w:t>Undang-Undang Nomor 43 Tahun 2009 tentang Kearsipan.</w:t>
      </w:r>
    </w:p>
    <w:p w14:paraId="35540A90" w14:textId="77777777" w:rsidR="00425E91" w:rsidRPr="00BF23F7" w:rsidRDefault="00425E91" w:rsidP="00425E91">
      <w:pPr>
        <w:spacing w:after="0" w:line="240" w:lineRule="auto"/>
        <w:ind w:left="709" w:hanging="709"/>
        <w:jc w:val="both"/>
        <w:rPr>
          <w:rFonts w:ascii="Times New Roman" w:eastAsia="Times New Roman" w:hAnsi="Times New Roman" w:cs="Times New Roman"/>
          <w:sz w:val="24"/>
          <w:szCs w:val="24"/>
          <w:lang w:val="id-ID" w:eastAsia="zh-TW"/>
        </w:rPr>
      </w:pPr>
      <w:r w:rsidRPr="00BF23F7">
        <w:rPr>
          <w:rFonts w:ascii="Times New Roman" w:eastAsia="Times New Roman" w:hAnsi="Times New Roman" w:cs="Times New Roman"/>
          <w:sz w:val="24"/>
          <w:szCs w:val="24"/>
          <w:lang w:val="id-ID" w:eastAsia="zh-TW"/>
        </w:rPr>
        <w:t xml:space="preserve">Widjajanto, A., &amp; Wardhani, A. (2008). </w:t>
      </w:r>
      <w:r w:rsidRPr="00BF23F7">
        <w:rPr>
          <w:rFonts w:ascii="Times New Roman" w:eastAsia="Times New Roman" w:hAnsi="Times New Roman" w:cs="Times New Roman"/>
          <w:i/>
          <w:iCs/>
          <w:sz w:val="24"/>
          <w:szCs w:val="24"/>
          <w:lang w:val="id-ID" w:eastAsia="zh-TW"/>
        </w:rPr>
        <w:t>Hubungan Intelijen dan Negara dalam Perspektif Demokrasi</w:t>
      </w:r>
      <w:r w:rsidRPr="00BF23F7">
        <w:rPr>
          <w:rFonts w:ascii="Times New Roman" w:eastAsia="Times New Roman" w:hAnsi="Times New Roman" w:cs="Times New Roman"/>
          <w:sz w:val="24"/>
          <w:szCs w:val="24"/>
          <w:lang w:val="id-ID" w:eastAsia="zh-TW"/>
        </w:rPr>
        <w:t>. Jakarta: Pacivis UI.</w:t>
      </w:r>
    </w:p>
    <w:p w14:paraId="7425F639" w14:textId="77777777" w:rsidR="00425E91" w:rsidRPr="00875206" w:rsidRDefault="00425E91" w:rsidP="00425E91">
      <w:pPr>
        <w:spacing w:after="0" w:line="240" w:lineRule="auto"/>
        <w:ind w:left="709" w:hanging="709"/>
        <w:jc w:val="both"/>
        <w:rPr>
          <w:rFonts w:ascii="Times New Roman" w:eastAsia="Times New Roman" w:hAnsi="Times New Roman" w:cs="Times New Roman"/>
          <w:sz w:val="24"/>
          <w:szCs w:val="24"/>
          <w:lang w:val="id-ID" w:eastAsia="zh-TW"/>
        </w:rPr>
      </w:pPr>
      <w:r w:rsidRPr="00BF23F7">
        <w:rPr>
          <w:rFonts w:ascii="Times New Roman" w:eastAsia="Times New Roman" w:hAnsi="Times New Roman" w:cs="Times New Roman"/>
          <w:sz w:val="24"/>
          <w:szCs w:val="24"/>
          <w:lang w:val="id-ID" w:eastAsia="zh-TW"/>
        </w:rPr>
        <w:t xml:space="preserve">Widjajanto, A., Lay, C., &amp; Keliat, M. (2006). </w:t>
      </w:r>
      <w:r w:rsidRPr="00BF23F7">
        <w:rPr>
          <w:rFonts w:ascii="Times New Roman" w:eastAsia="Times New Roman" w:hAnsi="Times New Roman" w:cs="Times New Roman"/>
          <w:i/>
          <w:iCs/>
          <w:sz w:val="24"/>
          <w:szCs w:val="24"/>
          <w:lang w:val="id-ID" w:eastAsia="zh-TW"/>
        </w:rPr>
        <w:t>Intelijen: Velox et Exactus</w:t>
      </w:r>
      <w:r w:rsidRPr="00BF23F7">
        <w:rPr>
          <w:rFonts w:ascii="Times New Roman" w:eastAsia="Times New Roman" w:hAnsi="Times New Roman" w:cs="Times New Roman"/>
          <w:sz w:val="24"/>
          <w:szCs w:val="24"/>
          <w:lang w:val="id-ID" w:eastAsia="zh-TW"/>
        </w:rPr>
        <w:t>. Jakarta: Friedrich Ebert Stiftung (FES).</w:t>
      </w:r>
    </w:p>
    <w:p w14:paraId="1EB22463" w14:textId="5C9F599A" w:rsidR="006A7E17" w:rsidRPr="00D55B4E" w:rsidRDefault="006A7E17" w:rsidP="00425E91">
      <w:pPr>
        <w:spacing w:after="0" w:line="240" w:lineRule="auto"/>
        <w:ind w:left="567" w:hanging="567"/>
        <w:jc w:val="both"/>
        <w:rPr>
          <w:rFonts w:ascii="Book Antiqua" w:hAnsi="Book Antiqua" w:cs="Times New Roman"/>
          <w:bCs/>
          <w:lang w:val="en-ID"/>
        </w:rPr>
      </w:pPr>
    </w:p>
    <w:sectPr w:rsidR="006A7E17" w:rsidRPr="00D55B4E" w:rsidSect="001E2953">
      <w:headerReference w:type="default" r:id="rId10"/>
      <w:pgSz w:w="12240" w:h="15840"/>
      <w:pgMar w:top="1440" w:right="1440" w:bottom="1440" w:left="144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2A1150" w14:textId="77777777" w:rsidR="00884CD0" w:rsidRDefault="00884CD0" w:rsidP="003D7AFA">
      <w:pPr>
        <w:spacing w:after="0" w:line="240" w:lineRule="auto"/>
      </w:pPr>
      <w:r>
        <w:separator/>
      </w:r>
    </w:p>
  </w:endnote>
  <w:endnote w:type="continuationSeparator" w:id="0">
    <w:p w14:paraId="2CFE2414" w14:textId="77777777" w:rsidR="00884CD0" w:rsidRDefault="00884CD0" w:rsidP="003D7A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ritannic Bold">
    <w:panose1 w:val="020B0903060703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7982325"/>
      <w:docPartObj>
        <w:docPartGallery w:val="Page Numbers (Bottom of Page)"/>
        <w:docPartUnique/>
      </w:docPartObj>
    </w:sdtPr>
    <w:sdtContent>
      <w:p w14:paraId="22FE7D14" w14:textId="42972B9A" w:rsidR="0097048E" w:rsidRDefault="00744CF8" w:rsidP="00077576">
        <w:pPr>
          <w:pStyle w:val="Footer"/>
        </w:pPr>
        <w:r>
          <w:rPr>
            <w:rFonts w:asciiTheme="majorHAnsi" w:eastAsiaTheme="majorEastAsia" w:hAnsiTheme="majorHAnsi" w:cstheme="majorBidi"/>
            <w:noProof/>
            <w:sz w:val="28"/>
            <w:szCs w:val="28"/>
          </w:rPr>
          <mc:AlternateContent>
            <mc:Choice Requires="wps">
              <w:drawing>
                <wp:anchor distT="0" distB="0" distL="114300" distR="114300" simplePos="0" relativeHeight="251663360" behindDoc="0" locked="0" layoutInCell="1" allowOverlap="1" wp14:anchorId="2B01F64B" wp14:editId="4C1FDF2D">
                  <wp:simplePos x="0" y="0"/>
                  <wp:positionH relativeFrom="rightMargin">
                    <wp:align>center</wp:align>
                  </wp:positionH>
                  <wp:positionV relativeFrom="bottomMargin">
                    <wp:align>center</wp:align>
                  </wp:positionV>
                  <wp:extent cx="512445" cy="441325"/>
                  <wp:effectExtent l="0" t="0" r="1905" b="0"/>
                  <wp:wrapNone/>
                  <wp:docPr id="5" name="Flowchart: Alternate Process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05526B93" w14:textId="77777777" w:rsidR="00744CF8" w:rsidRPr="00744CF8" w:rsidRDefault="00744CF8">
                              <w:pPr>
                                <w:pStyle w:val="Footer"/>
                                <w:pBdr>
                                  <w:top w:val="single" w:sz="12" w:space="1" w:color="9BBB59" w:themeColor="accent3"/>
                                  <w:bottom w:val="single" w:sz="48" w:space="1" w:color="9BBB59" w:themeColor="accent3"/>
                                </w:pBdr>
                                <w:jc w:val="center"/>
                              </w:pPr>
                              <w:r w:rsidRPr="00744CF8">
                                <w:fldChar w:fldCharType="begin"/>
                              </w:r>
                              <w:r w:rsidRPr="00744CF8">
                                <w:instrText xml:space="preserve"> PAGE    \* MERGEFORMAT </w:instrText>
                              </w:r>
                              <w:r w:rsidRPr="00744CF8">
                                <w:fldChar w:fldCharType="separate"/>
                              </w:r>
                              <w:r w:rsidRPr="00744CF8">
                                <w:rPr>
                                  <w:noProof/>
                                </w:rPr>
                                <w:t>2</w:t>
                              </w:r>
                              <w:r w:rsidRPr="00744CF8">
                                <w:rPr>
                                  <w:noProof/>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01F64B"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5" o:spid="_x0000_s1026" type="#_x0000_t176" style="position:absolute;margin-left:0;margin-top:0;width:40.35pt;height:34.75pt;z-index:251663360;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LCa5AEAAKsDAAAOAAAAZHJzL2Uyb0RvYy54bWysU9uO0zAQfUfiHyy/0zQl5RI1XVW7WoS0&#10;wEoLHzB17CbC8Zix26R8PWO3213gDfFizcUzc874eHU1DVYcNIUeXSPL2VwK7RS2vds18tvX21fv&#10;pAgRXAsWnW7kUQd5tX75YjX6Wi+wQ9tqEtzEhXr0jexi9HVRBNXpAcIMvXacNEgDRHZpV7QEI3cf&#10;bLGYz98UI1LrCZUOgaM3p6Rc5/7GaBW/GBN0FLaRjC3mk/K5TWexXkG9I/Bdr84w4B9QDNA7Hnpp&#10;dQMRxJ76v1oNvSIMaOJM4VCgMb3SmQOzKed/sHnowOvMhZcT/GVN4f+1VZ8PD/6eEvTg71B9D8Lh&#10;dQdupzdEOHYaWh5XpkUVow/1pSA5gUvFdvyELT8t7CPmHUyGhtSQ2Ykpr/p4WbWeolAcXJaLqlpK&#10;oThVVeXrxTJPgPqx2FOIHzQOIhmNNBZHhkVxY6MmB1Hfnx49T4TDXYgJIdSPdQmAw9ve2vzE1v0W&#10;4IspkhklEkkvoY7TduLbydxie2RuhCfFsMLZ6JB+SjGyWhoZfuyBtBT2o+P9vC+rKskrO9Xy7YId&#10;ep7ZPs+AU9yqkVGKk3kdT5Lce+p3HU8qMy2HG96p6TO1J1Rn3KyIzPis3iS5536+9fTH1r8AAAD/&#10;/wMAUEsDBBQABgAIAAAAIQAa5Eyd2QAAAAMBAAAPAAAAZHJzL2Rvd25yZXYueG1sTI/BTsMwEETv&#10;SPyDtUjcqAOooQ1xKkSFuNLSct7GSxJhr6N424S/x3Chl5VGM5p5W64m79SJhtgFNnA7y0AR18F2&#10;3BjYvb/cLEBFQbboApOBb4qwqi4vSixsGHlDp600KpVwLNBAK9IXWse6JY9xFnri5H2GwaMkOTTa&#10;Djimcu/0XZbl2mPHaaHFnp5bqr+2R29gn4/1urnffOzfdviqJ7fs13Mx5vpqenoEJTTJfxh+8RM6&#10;VInpEI5so3IG0iPyd5O3yB5AHQzkyznoqtTn7NUPAAAA//8DAFBLAQItABQABgAIAAAAIQC2gziS&#10;/gAAAOEBAAATAAAAAAAAAAAAAAAAAAAAAABbQ29udGVudF9UeXBlc10ueG1sUEsBAi0AFAAGAAgA&#10;AAAhADj9If/WAAAAlAEAAAsAAAAAAAAAAAAAAAAALwEAAF9yZWxzLy5yZWxzUEsBAi0AFAAGAAgA&#10;AAAhAGZ0sJrkAQAAqwMAAA4AAAAAAAAAAAAAAAAALgIAAGRycy9lMm9Eb2MueG1sUEsBAi0AFAAG&#10;AAgAAAAhABrkTJ3ZAAAAAwEAAA8AAAAAAAAAAAAAAAAAPgQAAGRycy9kb3ducmV2LnhtbFBLBQYA&#10;AAAABAAEAPMAAABEBQAAAAA=&#10;" filled="f" fillcolor="#5c83b4" stroked="f" strokecolor="#737373">
                  <v:textbox>
                    <w:txbxContent>
                      <w:p w14:paraId="05526B93" w14:textId="77777777" w:rsidR="00744CF8" w:rsidRPr="00744CF8" w:rsidRDefault="00744CF8">
                        <w:pPr>
                          <w:pStyle w:val="Footer"/>
                          <w:pBdr>
                            <w:top w:val="single" w:sz="12" w:space="1" w:color="9BBB59" w:themeColor="accent3"/>
                            <w:bottom w:val="single" w:sz="48" w:space="1" w:color="9BBB59" w:themeColor="accent3"/>
                          </w:pBdr>
                          <w:jc w:val="center"/>
                        </w:pPr>
                        <w:r w:rsidRPr="00744CF8">
                          <w:fldChar w:fldCharType="begin"/>
                        </w:r>
                        <w:r w:rsidRPr="00744CF8">
                          <w:instrText xml:space="preserve"> PAGE    \* MERGEFORMAT </w:instrText>
                        </w:r>
                        <w:r w:rsidRPr="00744CF8">
                          <w:fldChar w:fldCharType="separate"/>
                        </w:r>
                        <w:r w:rsidRPr="00744CF8">
                          <w:rPr>
                            <w:noProof/>
                          </w:rPr>
                          <w:t>2</w:t>
                        </w:r>
                        <w:r w:rsidRPr="00744CF8">
                          <w:rPr>
                            <w:noProof/>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BF25BC" w14:textId="77777777" w:rsidR="00884CD0" w:rsidRDefault="00884CD0" w:rsidP="003D7AFA">
      <w:pPr>
        <w:spacing w:after="0" w:line="240" w:lineRule="auto"/>
      </w:pPr>
      <w:r>
        <w:separator/>
      </w:r>
    </w:p>
  </w:footnote>
  <w:footnote w:type="continuationSeparator" w:id="0">
    <w:p w14:paraId="357F8239" w14:textId="77777777" w:rsidR="00884CD0" w:rsidRDefault="00884CD0" w:rsidP="003D7A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072"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8"/>
      <w:gridCol w:w="3544"/>
    </w:tblGrid>
    <w:tr w:rsidR="003D7AFA" w14:paraId="7711613C" w14:textId="77777777" w:rsidTr="0031084B">
      <w:tc>
        <w:tcPr>
          <w:tcW w:w="5528" w:type="dxa"/>
        </w:tcPr>
        <w:p w14:paraId="6E812D92" w14:textId="5EE600B8" w:rsidR="003D7AFA" w:rsidRPr="0031084B" w:rsidRDefault="005D496A" w:rsidP="003D7AFA">
          <w:pPr>
            <w:pStyle w:val="Header"/>
            <w:rPr>
              <w:rFonts w:ascii="Britannic Bold" w:hAnsi="Britannic Bold"/>
              <w:sz w:val="20"/>
              <w:szCs w:val="20"/>
            </w:rPr>
          </w:pPr>
          <w:r w:rsidRPr="0031084B">
            <w:rPr>
              <w:rFonts w:ascii="Britannic Bold" w:hAnsi="Britannic Bold"/>
              <w:sz w:val="20"/>
              <w:szCs w:val="20"/>
            </w:rPr>
            <w:t>International Journal of Political, Law, and Social Science</w:t>
          </w:r>
        </w:p>
        <w:p w14:paraId="60DFACAF" w14:textId="7FF0957B" w:rsidR="008F4C39" w:rsidRDefault="003D7AFA" w:rsidP="003D7AFA">
          <w:pPr>
            <w:pStyle w:val="Header"/>
            <w:rPr>
              <w:rFonts w:ascii="Arial Narrow" w:hAnsi="Arial Narrow"/>
              <w:sz w:val="16"/>
            </w:rPr>
          </w:pPr>
          <w:r w:rsidRPr="003D7AFA">
            <w:rPr>
              <w:rFonts w:ascii="Arial Narrow" w:hAnsi="Arial Narrow"/>
              <w:sz w:val="16"/>
            </w:rPr>
            <w:t xml:space="preserve">© </w:t>
          </w:r>
          <w:r w:rsidR="005D496A" w:rsidRPr="005D496A">
            <w:rPr>
              <w:rFonts w:ascii="Arial Narrow" w:hAnsi="Arial Narrow"/>
              <w:sz w:val="16"/>
            </w:rPr>
            <w:t>The Center for Political, Legal, Economic, and Social Research in the 21st Century</w:t>
          </w:r>
        </w:p>
        <w:p w14:paraId="599C24F5" w14:textId="77777777" w:rsidR="00DC7C77" w:rsidRPr="00DC7C77" w:rsidRDefault="00DC7C77" w:rsidP="003D7AFA">
          <w:pPr>
            <w:pStyle w:val="Header"/>
            <w:rPr>
              <w:rFonts w:ascii="Arial Narrow" w:hAnsi="Arial Narrow"/>
              <w:sz w:val="10"/>
            </w:rPr>
          </w:pPr>
        </w:p>
      </w:tc>
      <w:tc>
        <w:tcPr>
          <w:tcW w:w="3544" w:type="dxa"/>
        </w:tcPr>
        <w:p w14:paraId="583EA72C" w14:textId="77777777" w:rsidR="003D7AFA" w:rsidRDefault="003D7AFA" w:rsidP="003D7AFA">
          <w:pPr>
            <w:pStyle w:val="Header"/>
            <w:jc w:val="right"/>
            <w:rPr>
              <w:rFonts w:ascii="Arial Rounded MT Bold" w:hAnsi="Arial Rounded MT Bold"/>
              <w:sz w:val="16"/>
            </w:rPr>
          </w:pPr>
          <w:r>
            <w:rPr>
              <w:rFonts w:ascii="Arial Rounded MT Bold" w:hAnsi="Arial Rounded MT Bold"/>
              <w:sz w:val="16"/>
            </w:rPr>
            <w:t>Open Access Journal</w:t>
          </w:r>
        </w:p>
        <w:p w14:paraId="41CE78F1" w14:textId="63CF8413" w:rsidR="0031084B" w:rsidRDefault="0031084B" w:rsidP="0031084B">
          <w:pPr>
            <w:pStyle w:val="Header"/>
            <w:jc w:val="right"/>
            <w:rPr>
              <w:rFonts w:ascii="Arial Narrow" w:hAnsi="Arial Narrow"/>
              <w:color w:val="1F497D" w:themeColor="text2"/>
              <w:sz w:val="16"/>
            </w:rPr>
          </w:pPr>
          <w:hyperlink r:id="rId1" w:history="1">
            <w:r w:rsidRPr="00402E00">
              <w:rPr>
                <w:rStyle w:val="Hyperlink"/>
                <w:rFonts w:ascii="Arial Narrow" w:hAnsi="Arial Narrow"/>
                <w:sz w:val="16"/>
              </w:rPr>
              <w:t>https://ijpls.org/index.php/IJPLS/index</w:t>
            </w:r>
          </w:hyperlink>
        </w:p>
        <w:p w14:paraId="76A019F9" w14:textId="54A5B65A" w:rsidR="0031084B" w:rsidRPr="0031084B" w:rsidRDefault="00B362D7" w:rsidP="005D496A">
          <w:pPr>
            <w:pStyle w:val="Header"/>
            <w:jc w:val="right"/>
            <w:rPr>
              <w:rFonts w:ascii="Arial Narrow" w:hAnsi="Arial Narrow"/>
              <w:i/>
              <w:iCs/>
              <w:color w:val="1F497D" w:themeColor="text2"/>
              <w:sz w:val="16"/>
            </w:rPr>
          </w:pPr>
          <w:r>
            <w:rPr>
              <w:rFonts w:ascii="Arial Narrow" w:hAnsi="Arial Narrow"/>
              <w:i/>
              <w:iCs/>
              <w:sz w:val="16"/>
            </w:rPr>
            <w:t xml:space="preserve">Vol. </w:t>
          </w:r>
          <w:r w:rsidR="00BB2BF1">
            <w:rPr>
              <w:rFonts w:ascii="Arial Narrow" w:hAnsi="Arial Narrow"/>
              <w:i/>
              <w:iCs/>
              <w:sz w:val="16"/>
            </w:rPr>
            <w:t>6</w:t>
          </w:r>
          <w:r>
            <w:rPr>
              <w:rFonts w:ascii="Arial Narrow" w:hAnsi="Arial Narrow"/>
              <w:i/>
              <w:iCs/>
              <w:sz w:val="16"/>
            </w:rPr>
            <w:t>. No.</w:t>
          </w:r>
          <w:r w:rsidR="00E0509B">
            <w:rPr>
              <w:rFonts w:ascii="Arial Narrow" w:hAnsi="Arial Narrow"/>
              <w:i/>
              <w:iCs/>
              <w:sz w:val="16"/>
            </w:rPr>
            <w:t>2</w:t>
          </w:r>
          <w:r>
            <w:rPr>
              <w:rFonts w:ascii="Arial Narrow" w:hAnsi="Arial Narrow"/>
              <w:i/>
              <w:iCs/>
              <w:sz w:val="16"/>
            </w:rPr>
            <w:t>. ISSN: 2501-7322</w:t>
          </w:r>
        </w:p>
      </w:tc>
    </w:tr>
  </w:tbl>
  <w:p w14:paraId="70CC3DB2" w14:textId="0C72D868" w:rsidR="003D7AFA" w:rsidRPr="003D7AFA" w:rsidRDefault="008F4C39">
    <w:pPr>
      <w:pStyle w:val="Header"/>
      <w:rPr>
        <w:rFonts w:ascii="Arial Narrow" w:hAnsi="Arial Narrow"/>
        <w:sz w:val="16"/>
      </w:rPr>
    </w:pPr>
    <w:r>
      <w:rPr>
        <w:noProof/>
      </w:rPr>
      <w:drawing>
        <wp:anchor distT="0" distB="0" distL="114300" distR="114300" simplePos="0" relativeHeight="251654144" behindDoc="1" locked="0" layoutInCell="1" allowOverlap="1" wp14:anchorId="41C4448E" wp14:editId="2050E292">
          <wp:simplePos x="0" y="0"/>
          <wp:positionH relativeFrom="column">
            <wp:posOffset>-107950</wp:posOffset>
          </wp:positionH>
          <wp:positionV relativeFrom="paragraph">
            <wp:posOffset>-412115</wp:posOffset>
          </wp:positionV>
          <wp:extent cx="367665" cy="476250"/>
          <wp:effectExtent l="0" t="0" r="0" b="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67665" cy="476250"/>
                  </a:xfrm>
                  <a:prstGeom prst="rect">
                    <a:avLst/>
                  </a:prstGeom>
                  <a:noFill/>
                  <a:ln>
                    <a:noFill/>
                  </a:ln>
                </pic:spPr>
              </pic:pic>
            </a:graphicData>
          </a:graphic>
        </wp:anchor>
      </w:drawing>
    </w:r>
    <w:r w:rsidR="0031084B">
      <w:rPr>
        <w:noProof/>
      </w:rPr>
      <mc:AlternateContent>
        <mc:Choice Requires="wps">
          <w:drawing>
            <wp:anchor distT="0" distB="0" distL="114300" distR="114300" simplePos="0" relativeHeight="251659264" behindDoc="0" locked="0" layoutInCell="1" allowOverlap="1" wp14:anchorId="043EFA9C" wp14:editId="20044C06">
              <wp:simplePos x="0" y="0"/>
              <wp:positionH relativeFrom="column">
                <wp:posOffset>260350</wp:posOffset>
              </wp:positionH>
              <wp:positionV relativeFrom="paragraph">
                <wp:posOffset>23495</wp:posOffset>
              </wp:positionV>
              <wp:extent cx="573405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573405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791CC4A"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0.5pt,1.85pt" to="472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vudogEAAJkDAAAOAAAAZHJzL2Uyb0RvYy54bWysU02P0zAQvSPxHyzfadKF5SNquoddwQXB&#10;ioUf4HXGjYXtscamSf89Y7dNESCEEBfH9sx7M+95srmZvRN7oGQx9HK9aqWAoHGwYdfLL5/fPnst&#10;RcoqDMphgF4eIMmb7dMnmyl2cIUjugFIMElI3RR7OeYcu6ZJegSv0gojBA4aJK8yH2nXDKQmZveu&#10;uWrbl82ENERCDSnx7d0xKLeV3xjQ+aMxCbJwveTecl2pro9lbbYb1e1IxdHqUxvqH7rwygYuulDd&#10;qazEN7K/UHmrCROavNLoGzTGaqgaWM26/UnNw6giVC1sToqLTen/0eoP+9twT2zDFFOX4j0VFbMh&#10;X77cn5irWYfFLJiz0Hx5/er5i/aaPdXnWHMBRkr5HaAXZdNLZ0PRoTq1f58yF+PUc0q5dkFMPD1v&#10;Cl+JXnqpu3xwcEz7BEbYgauvK10dE7h1JPaKH3j4uq7wQsiZBWKscwuo/TPolFtgUEfnb4FLdq2I&#10;IS9AbwPS76rm+dyqOeafVR+1FtmPOBzqy1Q7+P2rbadZLQP247nCL3/U9jsAAAD//wMAUEsDBBQA&#10;BgAIAAAAIQDvMx1Z2QAAAAYBAAAPAAAAZHJzL2Rvd25yZXYueG1sTI/LToRAEEX3Jv5Dp0zcOcU4&#10;xAfSTIyGjQuj6GS2PXQJRLqa0D2Af2/pRpcnt3LvqXy7uF5NNIbOs4b1KgFFXHvbcaPh/a28uAEV&#10;omFres+k4YsCbIvTk9xk1s/8SlMVGyUlHDKjoY1xyBBD3ZIzYeUHYsk+/OhMFBwbtKOZpdz1eJkk&#10;V+hMx7LQmoEeWqo/q6PTgE+POFWeqvJlPz9vaIelRdT6/Gy5vwMVaYl/x/CjL+pQiNPBH9kG1WtI&#10;1/JK1LC5BiXxbZoKH34Zixz/6xffAAAA//8DAFBLAQItABQABgAIAAAAIQC2gziS/gAAAOEBAAAT&#10;AAAAAAAAAAAAAAAAAAAAAABbQ29udGVudF9UeXBlc10ueG1sUEsBAi0AFAAGAAgAAAAhADj9If/W&#10;AAAAlAEAAAsAAAAAAAAAAAAAAAAALwEAAF9yZWxzLy5yZWxzUEsBAi0AFAAGAAgAAAAhALCW+52i&#10;AQAAmQMAAA4AAAAAAAAAAAAAAAAALgIAAGRycy9lMm9Eb2MueG1sUEsBAi0AFAAGAAgAAAAhAO8z&#10;HVnZAAAABgEAAA8AAAAAAAAAAAAAAAAA/AMAAGRycy9kb3ducmV2LnhtbFBLBQYAAAAABAAEAPMA&#10;AAACBQAAAAA=&#10;" strokecolor="black [3040]" strokeweight="1.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6D491" w14:textId="77777777" w:rsidR="008F4C39" w:rsidRPr="0031084B" w:rsidRDefault="008F4C39" w:rsidP="008F4C39">
    <w:pPr>
      <w:pStyle w:val="Header"/>
      <w:rPr>
        <w:rFonts w:ascii="Britannic Bold" w:hAnsi="Britannic Bold"/>
        <w:sz w:val="20"/>
        <w:szCs w:val="20"/>
      </w:rPr>
    </w:pPr>
    <w:r w:rsidRPr="0031084B">
      <w:rPr>
        <w:rFonts w:ascii="Britannic Bold" w:hAnsi="Britannic Bold"/>
        <w:sz w:val="20"/>
        <w:szCs w:val="20"/>
      </w:rPr>
      <w:t>International Journal of Political, Law, and Social Science</w:t>
    </w:r>
  </w:p>
  <w:p w14:paraId="002E5926" w14:textId="24215648" w:rsidR="00744BBB" w:rsidRPr="008F4C39" w:rsidRDefault="008F4C39" w:rsidP="008F4C39">
    <w:pPr>
      <w:pStyle w:val="Header"/>
      <w:rPr>
        <w:rFonts w:ascii="Arial Narrow" w:hAnsi="Arial Narrow"/>
        <w:sz w:val="16"/>
      </w:rPr>
    </w:pPr>
    <w:r w:rsidRPr="003D7AFA">
      <w:rPr>
        <w:rFonts w:ascii="Arial Narrow" w:hAnsi="Arial Narrow"/>
        <w:sz w:val="16"/>
      </w:rPr>
      <w:t xml:space="preserve">© </w:t>
    </w:r>
    <w:r w:rsidRPr="005D496A">
      <w:rPr>
        <w:rFonts w:ascii="Arial Narrow" w:hAnsi="Arial Narrow"/>
        <w:sz w:val="16"/>
      </w:rPr>
      <w:t>The Center for Political, Legal, Economic, and Social Research in the 21st Century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1604D"/>
    <w:multiLevelType w:val="multilevel"/>
    <w:tmpl w:val="82F221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B6192A"/>
    <w:multiLevelType w:val="hybridMultilevel"/>
    <w:tmpl w:val="CE66A602"/>
    <w:lvl w:ilvl="0" w:tplc="04090019">
      <w:start w:val="1"/>
      <w:numFmt w:val="lowerLetter"/>
      <w:lvlText w:val="%1."/>
      <w:lvlJc w:val="left"/>
      <w:pPr>
        <w:ind w:left="1287" w:hanging="360"/>
      </w:pPr>
    </w:lvl>
    <w:lvl w:ilvl="1" w:tplc="0A941F08">
      <w:start w:val="1"/>
      <w:numFmt w:val="decimal"/>
      <w:lvlText w:val="%2)"/>
      <w:lvlJc w:val="left"/>
      <w:pPr>
        <w:ind w:left="3087" w:hanging="1440"/>
      </w:pPr>
      <w:rPr>
        <w:rFonts w:hint="default"/>
      </w:r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 w15:restartNumberingAfterBreak="0">
    <w:nsid w:val="04502885"/>
    <w:multiLevelType w:val="hybridMultilevel"/>
    <w:tmpl w:val="DD7EDB4E"/>
    <w:lvl w:ilvl="0" w:tplc="F6D622DC">
      <w:start w:val="1"/>
      <w:numFmt w:val="decimal"/>
      <w:lvlText w:val="%1."/>
      <w:lvlJc w:val="left"/>
      <w:pPr>
        <w:ind w:left="720" w:hanging="360"/>
      </w:pPr>
      <w:rPr>
        <w:rFonts w:hint="default"/>
        <w:b/>
        <w:bCs w:val="0"/>
        <w:sz w:val="22"/>
        <w:szCs w:val="22"/>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7F87814"/>
    <w:multiLevelType w:val="multilevel"/>
    <w:tmpl w:val="1520E5D0"/>
    <w:lvl w:ilvl="0">
      <w:start w:val="1"/>
      <w:numFmt w:val="lowerLetter"/>
      <w:lvlText w:val="%1."/>
      <w:lvlJc w:val="left"/>
      <w:pPr>
        <w:tabs>
          <w:tab w:val="num" w:pos="720"/>
        </w:tabs>
        <w:ind w:left="720" w:hanging="360"/>
      </w:pPr>
      <w:rPr>
        <w:rFonts w:ascii="Book Antiqua" w:eastAsiaTheme="minorHAnsi" w:hAnsi="Book Antiqua"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581884"/>
    <w:multiLevelType w:val="hybridMultilevel"/>
    <w:tmpl w:val="672C8C46"/>
    <w:lvl w:ilvl="0" w:tplc="04090011">
      <w:start w:val="1"/>
      <w:numFmt w:val="decimal"/>
      <w:lvlText w:val="%1)"/>
      <w:lvlJc w:val="left"/>
      <w:pPr>
        <w:ind w:left="1287" w:hanging="360"/>
      </w:pPr>
    </w:lvl>
    <w:lvl w:ilvl="1" w:tplc="04090011">
      <w:start w:val="1"/>
      <w:numFmt w:val="decimal"/>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 w15:restartNumberingAfterBreak="0">
    <w:nsid w:val="0EEE0068"/>
    <w:multiLevelType w:val="hybridMultilevel"/>
    <w:tmpl w:val="84680744"/>
    <w:lvl w:ilvl="0" w:tplc="04090011">
      <w:start w:val="1"/>
      <w:numFmt w:val="decimal"/>
      <w:lvlText w:val="%1)"/>
      <w:lvlJc w:val="left"/>
      <w:pPr>
        <w:ind w:left="1287" w:hanging="360"/>
      </w:pPr>
    </w:lvl>
    <w:lvl w:ilvl="1" w:tplc="04090011">
      <w:start w:val="1"/>
      <w:numFmt w:val="decimal"/>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 w15:restartNumberingAfterBreak="0">
    <w:nsid w:val="0EF2030B"/>
    <w:multiLevelType w:val="hybridMultilevel"/>
    <w:tmpl w:val="F226594A"/>
    <w:lvl w:ilvl="0" w:tplc="04090019">
      <w:start w:val="1"/>
      <w:numFmt w:val="lowerLetter"/>
      <w:lvlText w:val="%1."/>
      <w:lvlJc w:val="left"/>
      <w:pPr>
        <w:ind w:left="1287" w:hanging="360"/>
      </w:p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 w15:restartNumberingAfterBreak="0">
    <w:nsid w:val="119108ED"/>
    <w:multiLevelType w:val="multilevel"/>
    <w:tmpl w:val="4FDC3F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306562D"/>
    <w:multiLevelType w:val="hybridMultilevel"/>
    <w:tmpl w:val="4EC8ACA0"/>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2533533C"/>
    <w:multiLevelType w:val="hybridMultilevel"/>
    <w:tmpl w:val="6622C78C"/>
    <w:lvl w:ilvl="0" w:tplc="97900558">
      <w:start w:val="1"/>
      <w:numFmt w:val="decimal"/>
      <w:lvlText w:val="%1."/>
      <w:lvlJc w:val="left"/>
      <w:pPr>
        <w:ind w:left="720" w:hanging="360"/>
      </w:pPr>
      <w:rPr>
        <w:rFonts w:hint="default"/>
      </w:rPr>
    </w:lvl>
    <w:lvl w:ilvl="1" w:tplc="E34A3526">
      <w:start w:val="1"/>
      <w:numFmt w:val="low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E46597"/>
    <w:multiLevelType w:val="hybridMultilevel"/>
    <w:tmpl w:val="526A1146"/>
    <w:lvl w:ilvl="0" w:tplc="04090011">
      <w:start w:val="1"/>
      <w:numFmt w:val="decimal"/>
      <w:lvlText w:val="%1)"/>
      <w:lvlJc w:val="left"/>
      <w:pPr>
        <w:ind w:left="2367" w:hanging="360"/>
      </w:pPr>
    </w:lvl>
    <w:lvl w:ilvl="1" w:tplc="04090019" w:tentative="1">
      <w:start w:val="1"/>
      <w:numFmt w:val="lowerLetter"/>
      <w:lvlText w:val="%2."/>
      <w:lvlJc w:val="left"/>
      <w:pPr>
        <w:ind w:left="3087" w:hanging="360"/>
      </w:pPr>
    </w:lvl>
    <w:lvl w:ilvl="2" w:tplc="0409001B" w:tentative="1">
      <w:start w:val="1"/>
      <w:numFmt w:val="lowerRoman"/>
      <w:lvlText w:val="%3."/>
      <w:lvlJc w:val="right"/>
      <w:pPr>
        <w:ind w:left="3807" w:hanging="180"/>
      </w:pPr>
    </w:lvl>
    <w:lvl w:ilvl="3" w:tplc="0409000F" w:tentative="1">
      <w:start w:val="1"/>
      <w:numFmt w:val="decimal"/>
      <w:lvlText w:val="%4."/>
      <w:lvlJc w:val="left"/>
      <w:pPr>
        <w:ind w:left="4527" w:hanging="360"/>
      </w:pPr>
    </w:lvl>
    <w:lvl w:ilvl="4" w:tplc="04090019" w:tentative="1">
      <w:start w:val="1"/>
      <w:numFmt w:val="lowerLetter"/>
      <w:lvlText w:val="%5."/>
      <w:lvlJc w:val="left"/>
      <w:pPr>
        <w:ind w:left="5247" w:hanging="360"/>
      </w:pPr>
    </w:lvl>
    <w:lvl w:ilvl="5" w:tplc="0409001B" w:tentative="1">
      <w:start w:val="1"/>
      <w:numFmt w:val="lowerRoman"/>
      <w:lvlText w:val="%6."/>
      <w:lvlJc w:val="right"/>
      <w:pPr>
        <w:ind w:left="5967" w:hanging="180"/>
      </w:pPr>
    </w:lvl>
    <w:lvl w:ilvl="6" w:tplc="0409000F" w:tentative="1">
      <w:start w:val="1"/>
      <w:numFmt w:val="decimal"/>
      <w:lvlText w:val="%7."/>
      <w:lvlJc w:val="left"/>
      <w:pPr>
        <w:ind w:left="6687" w:hanging="360"/>
      </w:pPr>
    </w:lvl>
    <w:lvl w:ilvl="7" w:tplc="04090019" w:tentative="1">
      <w:start w:val="1"/>
      <w:numFmt w:val="lowerLetter"/>
      <w:lvlText w:val="%8."/>
      <w:lvlJc w:val="left"/>
      <w:pPr>
        <w:ind w:left="7407" w:hanging="360"/>
      </w:pPr>
    </w:lvl>
    <w:lvl w:ilvl="8" w:tplc="0409001B" w:tentative="1">
      <w:start w:val="1"/>
      <w:numFmt w:val="lowerRoman"/>
      <w:lvlText w:val="%9."/>
      <w:lvlJc w:val="right"/>
      <w:pPr>
        <w:ind w:left="8127" w:hanging="180"/>
      </w:pPr>
    </w:lvl>
  </w:abstractNum>
  <w:abstractNum w:abstractNumId="11" w15:restartNumberingAfterBreak="0">
    <w:nsid w:val="29735CD3"/>
    <w:multiLevelType w:val="hybridMultilevel"/>
    <w:tmpl w:val="0CB62662"/>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2D194929"/>
    <w:multiLevelType w:val="hybridMultilevel"/>
    <w:tmpl w:val="7E96A556"/>
    <w:lvl w:ilvl="0" w:tplc="3809000F">
      <w:start w:val="1"/>
      <w:numFmt w:val="decimal"/>
      <w:lvlText w:val="%1."/>
      <w:lvlJc w:val="left"/>
      <w:pPr>
        <w:ind w:left="720" w:hanging="360"/>
      </w:pPr>
      <w:rPr>
        <w:rFonts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2FF57E7E"/>
    <w:multiLevelType w:val="hybridMultilevel"/>
    <w:tmpl w:val="6FEC2A38"/>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36BB6F1F"/>
    <w:multiLevelType w:val="multilevel"/>
    <w:tmpl w:val="7C82F6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38B7224"/>
    <w:multiLevelType w:val="hybridMultilevel"/>
    <w:tmpl w:val="0FC2ECC0"/>
    <w:lvl w:ilvl="0" w:tplc="657EF350">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6" w15:restartNumberingAfterBreak="0">
    <w:nsid w:val="467F3157"/>
    <w:multiLevelType w:val="hybridMultilevel"/>
    <w:tmpl w:val="1B12FFD4"/>
    <w:lvl w:ilvl="0" w:tplc="04090011">
      <w:start w:val="1"/>
      <w:numFmt w:val="decimal"/>
      <w:lvlText w:val="%1)"/>
      <w:lvlJc w:val="left"/>
      <w:pPr>
        <w:ind w:left="2367" w:hanging="360"/>
      </w:pPr>
    </w:lvl>
    <w:lvl w:ilvl="1" w:tplc="04090019" w:tentative="1">
      <w:start w:val="1"/>
      <w:numFmt w:val="lowerLetter"/>
      <w:lvlText w:val="%2."/>
      <w:lvlJc w:val="left"/>
      <w:pPr>
        <w:ind w:left="3087" w:hanging="360"/>
      </w:pPr>
    </w:lvl>
    <w:lvl w:ilvl="2" w:tplc="0409001B" w:tentative="1">
      <w:start w:val="1"/>
      <w:numFmt w:val="lowerRoman"/>
      <w:lvlText w:val="%3."/>
      <w:lvlJc w:val="right"/>
      <w:pPr>
        <w:ind w:left="3807" w:hanging="180"/>
      </w:pPr>
    </w:lvl>
    <w:lvl w:ilvl="3" w:tplc="0409000F" w:tentative="1">
      <w:start w:val="1"/>
      <w:numFmt w:val="decimal"/>
      <w:lvlText w:val="%4."/>
      <w:lvlJc w:val="left"/>
      <w:pPr>
        <w:ind w:left="4527" w:hanging="360"/>
      </w:pPr>
    </w:lvl>
    <w:lvl w:ilvl="4" w:tplc="04090019" w:tentative="1">
      <w:start w:val="1"/>
      <w:numFmt w:val="lowerLetter"/>
      <w:lvlText w:val="%5."/>
      <w:lvlJc w:val="left"/>
      <w:pPr>
        <w:ind w:left="5247" w:hanging="360"/>
      </w:pPr>
    </w:lvl>
    <w:lvl w:ilvl="5" w:tplc="0409001B" w:tentative="1">
      <w:start w:val="1"/>
      <w:numFmt w:val="lowerRoman"/>
      <w:lvlText w:val="%6."/>
      <w:lvlJc w:val="right"/>
      <w:pPr>
        <w:ind w:left="5967" w:hanging="180"/>
      </w:pPr>
    </w:lvl>
    <w:lvl w:ilvl="6" w:tplc="0409000F" w:tentative="1">
      <w:start w:val="1"/>
      <w:numFmt w:val="decimal"/>
      <w:lvlText w:val="%7."/>
      <w:lvlJc w:val="left"/>
      <w:pPr>
        <w:ind w:left="6687" w:hanging="360"/>
      </w:pPr>
    </w:lvl>
    <w:lvl w:ilvl="7" w:tplc="04090019" w:tentative="1">
      <w:start w:val="1"/>
      <w:numFmt w:val="lowerLetter"/>
      <w:lvlText w:val="%8."/>
      <w:lvlJc w:val="left"/>
      <w:pPr>
        <w:ind w:left="7407" w:hanging="360"/>
      </w:pPr>
    </w:lvl>
    <w:lvl w:ilvl="8" w:tplc="0409001B" w:tentative="1">
      <w:start w:val="1"/>
      <w:numFmt w:val="lowerRoman"/>
      <w:lvlText w:val="%9."/>
      <w:lvlJc w:val="right"/>
      <w:pPr>
        <w:ind w:left="8127" w:hanging="180"/>
      </w:pPr>
    </w:lvl>
  </w:abstractNum>
  <w:abstractNum w:abstractNumId="17" w15:restartNumberingAfterBreak="0">
    <w:nsid w:val="4F995BB1"/>
    <w:multiLevelType w:val="hybridMultilevel"/>
    <w:tmpl w:val="9BAEF1E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4C07F67"/>
    <w:multiLevelType w:val="hybridMultilevel"/>
    <w:tmpl w:val="D9E25114"/>
    <w:lvl w:ilvl="0" w:tplc="04090019">
      <w:start w:val="1"/>
      <w:numFmt w:val="lowerLetter"/>
      <w:lvlText w:val="%1."/>
      <w:lvlJc w:val="left"/>
      <w:pPr>
        <w:ind w:left="720" w:hanging="360"/>
      </w:pPr>
      <w:rPr>
        <w:rFonts w:hint="default"/>
      </w:rPr>
    </w:lvl>
    <w:lvl w:ilvl="1" w:tplc="E34A3526">
      <w:start w:val="1"/>
      <w:numFmt w:val="low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7AD488F"/>
    <w:multiLevelType w:val="hybridMultilevel"/>
    <w:tmpl w:val="BB94968E"/>
    <w:lvl w:ilvl="0" w:tplc="04090011">
      <w:start w:val="1"/>
      <w:numFmt w:val="decimal"/>
      <w:lvlText w:val="%1)"/>
      <w:lvlJc w:val="left"/>
      <w:pPr>
        <w:ind w:left="1287" w:hanging="360"/>
      </w:pPr>
    </w:lvl>
    <w:lvl w:ilvl="1" w:tplc="4BD6C32C">
      <w:start w:val="1"/>
      <w:numFmt w:val="lowerLetter"/>
      <w:lvlText w:val="(%2)"/>
      <w:lvlJc w:val="left"/>
      <w:pPr>
        <w:ind w:left="3087" w:hanging="1440"/>
      </w:pPr>
      <w:rPr>
        <w:rFonts w:hint="default"/>
      </w:r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0" w15:restartNumberingAfterBreak="0">
    <w:nsid w:val="5A635903"/>
    <w:multiLevelType w:val="hybridMultilevel"/>
    <w:tmpl w:val="398AAE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B0D48DE"/>
    <w:multiLevelType w:val="hybridMultilevel"/>
    <w:tmpl w:val="945E4F2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8A2F80"/>
    <w:multiLevelType w:val="hybridMultilevel"/>
    <w:tmpl w:val="0DCC9246"/>
    <w:lvl w:ilvl="0" w:tplc="04090011">
      <w:start w:val="1"/>
      <w:numFmt w:val="decimal"/>
      <w:lvlText w:val="%1)"/>
      <w:lvlJc w:val="left"/>
      <w:pPr>
        <w:ind w:left="1287" w:hanging="360"/>
      </w:pPr>
    </w:lvl>
    <w:lvl w:ilvl="1" w:tplc="04090011">
      <w:start w:val="1"/>
      <w:numFmt w:val="decimal"/>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3" w15:restartNumberingAfterBreak="0">
    <w:nsid w:val="6C1A69C2"/>
    <w:multiLevelType w:val="hybridMultilevel"/>
    <w:tmpl w:val="EECEDABA"/>
    <w:lvl w:ilvl="0" w:tplc="CB66BF6A">
      <w:start w:val="1"/>
      <w:numFmt w:val="decimal"/>
      <w:lvlText w:val="%1)"/>
      <w:lvlJc w:val="left"/>
      <w:pPr>
        <w:ind w:left="720" w:hanging="360"/>
      </w:pPr>
      <w:rPr>
        <w:rFonts w:hint="default"/>
        <w:sz w:val="22"/>
        <w:szCs w:val="22"/>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6D563CA0"/>
    <w:multiLevelType w:val="hybridMultilevel"/>
    <w:tmpl w:val="ED64D61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17F6ABC"/>
    <w:multiLevelType w:val="hybridMultilevel"/>
    <w:tmpl w:val="3E6AD6DC"/>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72156977"/>
    <w:multiLevelType w:val="hybridMultilevel"/>
    <w:tmpl w:val="5094CB74"/>
    <w:lvl w:ilvl="0" w:tplc="38090011">
      <w:start w:val="1"/>
      <w:numFmt w:val="decimal"/>
      <w:lvlText w:val="%1)"/>
      <w:lvlJc w:val="left"/>
      <w:pPr>
        <w:ind w:left="720" w:hanging="360"/>
      </w:pPr>
      <w:rPr>
        <w:rFonts w:hint="default"/>
        <w:sz w:val="22"/>
        <w:szCs w:val="22"/>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75312297"/>
    <w:multiLevelType w:val="hybridMultilevel"/>
    <w:tmpl w:val="2D28D1B6"/>
    <w:lvl w:ilvl="0" w:tplc="04090011">
      <w:start w:val="1"/>
      <w:numFmt w:val="decimal"/>
      <w:lvlText w:val="%1)"/>
      <w:lvlJc w:val="left"/>
      <w:pPr>
        <w:ind w:left="2367" w:hanging="360"/>
      </w:pPr>
    </w:lvl>
    <w:lvl w:ilvl="1" w:tplc="ED822F1C">
      <w:start w:val="1"/>
      <w:numFmt w:val="decimal"/>
      <w:lvlText w:val="%2."/>
      <w:lvlJc w:val="left"/>
      <w:pPr>
        <w:ind w:left="3447" w:hanging="720"/>
      </w:pPr>
      <w:rPr>
        <w:rFonts w:hint="default"/>
      </w:rPr>
    </w:lvl>
    <w:lvl w:ilvl="2" w:tplc="0409001B" w:tentative="1">
      <w:start w:val="1"/>
      <w:numFmt w:val="lowerRoman"/>
      <w:lvlText w:val="%3."/>
      <w:lvlJc w:val="right"/>
      <w:pPr>
        <w:ind w:left="3807" w:hanging="180"/>
      </w:pPr>
    </w:lvl>
    <w:lvl w:ilvl="3" w:tplc="0409000F" w:tentative="1">
      <w:start w:val="1"/>
      <w:numFmt w:val="decimal"/>
      <w:lvlText w:val="%4."/>
      <w:lvlJc w:val="left"/>
      <w:pPr>
        <w:ind w:left="4527" w:hanging="360"/>
      </w:pPr>
    </w:lvl>
    <w:lvl w:ilvl="4" w:tplc="04090019" w:tentative="1">
      <w:start w:val="1"/>
      <w:numFmt w:val="lowerLetter"/>
      <w:lvlText w:val="%5."/>
      <w:lvlJc w:val="left"/>
      <w:pPr>
        <w:ind w:left="5247" w:hanging="360"/>
      </w:pPr>
    </w:lvl>
    <w:lvl w:ilvl="5" w:tplc="0409001B" w:tentative="1">
      <w:start w:val="1"/>
      <w:numFmt w:val="lowerRoman"/>
      <w:lvlText w:val="%6."/>
      <w:lvlJc w:val="right"/>
      <w:pPr>
        <w:ind w:left="5967" w:hanging="180"/>
      </w:pPr>
    </w:lvl>
    <w:lvl w:ilvl="6" w:tplc="0409000F" w:tentative="1">
      <w:start w:val="1"/>
      <w:numFmt w:val="decimal"/>
      <w:lvlText w:val="%7."/>
      <w:lvlJc w:val="left"/>
      <w:pPr>
        <w:ind w:left="6687" w:hanging="360"/>
      </w:pPr>
    </w:lvl>
    <w:lvl w:ilvl="7" w:tplc="04090019" w:tentative="1">
      <w:start w:val="1"/>
      <w:numFmt w:val="lowerLetter"/>
      <w:lvlText w:val="%8."/>
      <w:lvlJc w:val="left"/>
      <w:pPr>
        <w:ind w:left="7407" w:hanging="360"/>
      </w:pPr>
    </w:lvl>
    <w:lvl w:ilvl="8" w:tplc="0409001B" w:tentative="1">
      <w:start w:val="1"/>
      <w:numFmt w:val="lowerRoman"/>
      <w:lvlText w:val="%9."/>
      <w:lvlJc w:val="right"/>
      <w:pPr>
        <w:ind w:left="8127" w:hanging="180"/>
      </w:pPr>
    </w:lvl>
  </w:abstractNum>
  <w:abstractNum w:abstractNumId="28" w15:restartNumberingAfterBreak="0">
    <w:nsid w:val="7D050421"/>
    <w:multiLevelType w:val="hybridMultilevel"/>
    <w:tmpl w:val="4B9ADE36"/>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7F257E1F"/>
    <w:multiLevelType w:val="hybridMultilevel"/>
    <w:tmpl w:val="60028B44"/>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16cid:durableId="287399308">
    <w:abstractNumId w:val="29"/>
  </w:num>
  <w:num w:numId="2" w16cid:durableId="1042050764">
    <w:abstractNumId w:val="17"/>
  </w:num>
  <w:num w:numId="3" w16cid:durableId="2035763911">
    <w:abstractNumId w:val="24"/>
  </w:num>
  <w:num w:numId="4" w16cid:durableId="508372139">
    <w:abstractNumId w:val="9"/>
  </w:num>
  <w:num w:numId="5" w16cid:durableId="1563590507">
    <w:abstractNumId w:val="1"/>
  </w:num>
  <w:num w:numId="6" w16cid:durableId="1529181381">
    <w:abstractNumId w:val="5"/>
  </w:num>
  <w:num w:numId="7" w16cid:durableId="1418670136">
    <w:abstractNumId w:val="6"/>
  </w:num>
  <w:num w:numId="8" w16cid:durableId="913466509">
    <w:abstractNumId w:val="22"/>
  </w:num>
  <w:num w:numId="9" w16cid:durableId="2059359300">
    <w:abstractNumId w:val="28"/>
  </w:num>
  <w:num w:numId="10" w16cid:durableId="2052880999">
    <w:abstractNumId w:val="4"/>
  </w:num>
  <w:num w:numId="11" w16cid:durableId="1098137044">
    <w:abstractNumId w:val="18"/>
  </w:num>
  <w:num w:numId="12" w16cid:durableId="787546312">
    <w:abstractNumId w:val="27"/>
  </w:num>
  <w:num w:numId="13" w16cid:durableId="1382048036">
    <w:abstractNumId w:val="19"/>
  </w:num>
  <w:num w:numId="14" w16cid:durableId="986400125">
    <w:abstractNumId w:val="10"/>
  </w:num>
  <w:num w:numId="15" w16cid:durableId="806043800">
    <w:abstractNumId w:val="16"/>
  </w:num>
  <w:num w:numId="16" w16cid:durableId="1373388503">
    <w:abstractNumId w:val="21"/>
  </w:num>
  <w:num w:numId="17" w16cid:durableId="122386083">
    <w:abstractNumId w:val="20"/>
  </w:num>
  <w:num w:numId="18" w16cid:durableId="233591457">
    <w:abstractNumId w:val="7"/>
  </w:num>
  <w:num w:numId="19" w16cid:durableId="887257575">
    <w:abstractNumId w:val="14"/>
  </w:num>
  <w:num w:numId="20" w16cid:durableId="926885821">
    <w:abstractNumId w:val="8"/>
  </w:num>
  <w:num w:numId="21" w16cid:durableId="225916272">
    <w:abstractNumId w:val="2"/>
  </w:num>
  <w:num w:numId="22" w16cid:durableId="1882087163">
    <w:abstractNumId w:val="25"/>
  </w:num>
  <w:num w:numId="23" w16cid:durableId="809632095">
    <w:abstractNumId w:val="26"/>
  </w:num>
  <w:num w:numId="24" w16cid:durableId="1840847298">
    <w:abstractNumId w:val="23"/>
  </w:num>
  <w:num w:numId="25" w16cid:durableId="2057848607">
    <w:abstractNumId w:val="13"/>
  </w:num>
  <w:num w:numId="26" w16cid:durableId="1367755154">
    <w:abstractNumId w:val="3"/>
  </w:num>
  <w:num w:numId="27" w16cid:durableId="1846749004">
    <w:abstractNumId w:val="12"/>
  </w:num>
  <w:num w:numId="28" w16cid:durableId="482697996">
    <w:abstractNumId w:val="0"/>
  </w:num>
  <w:num w:numId="29" w16cid:durableId="1198002810">
    <w:abstractNumId w:val="11"/>
  </w:num>
  <w:num w:numId="30" w16cid:durableId="1378554378">
    <w:abstractNumId w:val="1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E4B41"/>
    <w:rsid w:val="00007E10"/>
    <w:rsid w:val="00012100"/>
    <w:rsid w:val="00031360"/>
    <w:rsid w:val="00041164"/>
    <w:rsid w:val="00047779"/>
    <w:rsid w:val="0005006B"/>
    <w:rsid w:val="00060849"/>
    <w:rsid w:val="0007043A"/>
    <w:rsid w:val="00077576"/>
    <w:rsid w:val="00081DA1"/>
    <w:rsid w:val="00090796"/>
    <w:rsid w:val="0009283C"/>
    <w:rsid w:val="0009589B"/>
    <w:rsid w:val="000A54C2"/>
    <w:rsid w:val="000C36B1"/>
    <w:rsid w:val="000C7BC3"/>
    <w:rsid w:val="000D68FF"/>
    <w:rsid w:val="000F1FC1"/>
    <w:rsid w:val="000F5E97"/>
    <w:rsid w:val="0010391B"/>
    <w:rsid w:val="00105B51"/>
    <w:rsid w:val="0010662A"/>
    <w:rsid w:val="00106762"/>
    <w:rsid w:val="001230DC"/>
    <w:rsid w:val="001309C0"/>
    <w:rsid w:val="0014212A"/>
    <w:rsid w:val="00144B57"/>
    <w:rsid w:val="00153733"/>
    <w:rsid w:val="00163888"/>
    <w:rsid w:val="0017123F"/>
    <w:rsid w:val="00171831"/>
    <w:rsid w:val="00190E1C"/>
    <w:rsid w:val="001921FB"/>
    <w:rsid w:val="001A1B48"/>
    <w:rsid w:val="001B2EE7"/>
    <w:rsid w:val="001B71B1"/>
    <w:rsid w:val="001C21AA"/>
    <w:rsid w:val="001D0775"/>
    <w:rsid w:val="001D124F"/>
    <w:rsid w:val="001E2953"/>
    <w:rsid w:val="001E7E53"/>
    <w:rsid w:val="001F1794"/>
    <w:rsid w:val="00211575"/>
    <w:rsid w:val="002176F6"/>
    <w:rsid w:val="00232B6A"/>
    <w:rsid w:val="00235354"/>
    <w:rsid w:val="0023772D"/>
    <w:rsid w:val="00237FCB"/>
    <w:rsid w:val="0025171E"/>
    <w:rsid w:val="002525CB"/>
    <w:rsid w:val="00254D77"/>
    <w:rsid w:val="00256712"/>
    <w:rsid w:val="00261E98"/>
    <w:rsid w:val="002638F9"/>
    <w:rsid w:val="0026768A"/>
    <w:rsid w:val="00274B4C"/>
    <w:rsid w:val="00276932"/>
    <w:rsid w:val="00282089"/>
    <w:rsid w:val="0028415B"/>
    <w:rsid w:val="00297D7B"/>
    <w:rsid w:val="00297DEE"/>
    <w:rsid w:val="002A7AE2"/>
    <w:rsid w:val="002D1C14"/>
    <w:rsid w:val="002E298E"/>
    <w:rsid w:val="002E437C"/>
    <w:rsid w:val="002E5960"/>
    <w:rsid w:val="002F51FE"/>
    <w:rsid w:val="00302E32"/>
    <w:rsid w:val="003103AD"/>
    <w:rsid w:val="0031084B"/>
    <w:rsid w:val="0031183A"/>
    <w:rsid w:val="003128C1"/>
    <w:rsid w:val="00315030"/>
    <w:rsid w:val="00325B43"/>
    <w:rsid w:val="00326F1F"/>
    <w:rsid w:val="00335FFC"/>
    <w:rsid w:val="0033676A"/>
    <w:rsid w:val="003431E9"/>
    <w:rsid w:val="00353DB8"/>
    <w:rsid w:val="00355D89"/>
    <w:rsid w:val="003561BF"/>
    <w:rsid w:val="00365CF4"/>
    <w:rsid w:val="00370D7B"/>
    <w:rsid w:val="003726E6"/>
    <w:rsid w:val="00393B1E"/>
    <w:rsid w:val="003A51DA"/>
    <w:rsid w:val="003A7894"/>
    <w:rsid w:val="003A7E9A"/>
    <w:rsid w:val="003B1972"/>
    <w:rsid w:val="003C4A92"/>
    <w:rsid w:val="003C58CF"/>
    <w:rsid w:val="003D45BC"/>
    <w:rsid w:val="003D7AFA"/>
    <w:rsid w:val="003D7CC0"/>
    <w:rsid w:val="003E0E14"/>
    <w:rsid w:val="003E419C"/>
    <w:rsid w:val="003E6802"/>
    <w:rsid w:val="003F2B29"/>
    <w:rsid w:val="00414B26"/>
    <w:rsid w:val="00425E91"/>
    <w:rsid w:val="0042687B"/>
    <w:rsid w:val="00433554"/>
    <w:rsid w:val="004363F7"/>
    <w:rsid w:val="00436882"/>
    <w:rsid w:val="004514B3"/>
    <w:rsid w:val="0045484F"/>
    <w:rsid w:val="00454B9D"/>
    <w:rsid w:val="00455BF6"/>
    <w:rsid w:val="0046034E"/>
    <w:rsid w:val="00461B68"/>
    <w:rsid w:val="00462BD9"/>
    <w:rsid w:val="0046327E"/>
    <w:rsid w:val="00467558"/>
    <w:rsid w:val="00476954"/>
    <w:rsid w:val="00481268"/>
    <w:rsid w:val="00484E5C"/>
    <w:rsid w:val="00493C4A"/>
    <w:rsid w:val="00495B20"/>
    <w:rsid w:val="004A17EE"/>
    <w:rsid w:val="004B49F2"/>
    <w:rsid w:val="004B723A"/>
    <w:rsid w:val="004B78D7"/>
    <w:rsid w:val="004C09D6"/>
    <w:rsid w:val="004C793D"/>
    <w:rsid w:val="004E23C6"/>
    <w:rsid w:val="004E35F1"/>
    <w:rsid w:val="004E44C8"/>
    <w:rsid w:val="004E4B41"/>
    <w:rsid w:val="004E74ED"/>
    <w:rsid w:val="004E7C60"/>
    <w:rsid w:val="004F05C1"/>
    <w:rsid w:val="004F3547"/>
    <w:rsid w:val="004F3CE6"/>
    <w:rsid w:val="004F534A"/>
    <w:rsid w:val="00503A69"/>
    <w:rsid w:val="00535D8C"/>
    <w:rsid w:val="005439AE"/>
    <w:rsid w:val="00546A59"/>
    <w:rsid w:val="00550536"/>
    <w:rsid w:val="00553E45"/>
    <w:rsid w:val="00562929"/>
    <w:rsid w:val="00563F89"/>
    <w:rsid w:val="00566C6A"/>
    <w:rsid w:val="00580D85"/>
    <w:rsid w:val="00581731"/>
    <w:rsid w:val="00582D8A"/>
    <w:rsid w:val="0058557C"/>
    <w:rsid w:val="0058567B"/>
    <w:rsid w:val="005875E0"/>
    <w:rsid w:val="005955CB"/>
    <w:rsid w:val="005A1C0D"/>
    <w:rsid w:val="005A4E9B"/>
    <w:rsid w:val="005A553B"/>
    <w:rsid w:val="005A7282"/>
    <w:rsid w:val="005B7F4D"/>
    <w:rsid w:val="005C053B"/>
    <w:rsid w:val="005C1AE2"/>
    <w:rsid w:val="005D496A"/>
    <w:rsid w:val="005F3169"/>
    <w:rsid w:val="005F38D4"/>
    <w:rsid w:val="00604870"/>
    <w:rsid w:val="00613E80"/>
    <w:rsid w:val="0061778C"/>
    <w:rsid w:val="00623B70"/>
    <w:rsid w:val="00626B1E"/>
    <w:rsid w:val="006274FD"/>
    <w:rsid w:val="00627E3A"/>
    <w:rsid w:val="00641E33"/>
    <w:rsid w:val="006422EA"/>
    <w:rsid w:val="006438DE"/>
    <w:rsid w:val="00652B47"/>
    <w:rsid w:val="00657846"/>
    <w:rsid w:val="006626DB"/>
    <w:rsid w:val="006822B6"/>
    <w:rsid w:val="00691A7C"/>
    <w:rsid w:val="00692A85"/>
    <w:rsid w:val="006970F9"/>
    <w:rsid w:val="006A255E"/>
    <w:rsid w:val="006A7E17"/>
    <w:rsid w:val="006B1079"/>
    <w:rsid w:val="006B45FA"/>
    <w:rsid w:val="006D4349"/>
    <w:rsid w:val="006E003C"/>
    <w:rsid w:val="006E3634"/>
    <w:rsid w:val="006E7F71"/>
    <w:rsid w:val="006F28C2"/>
    <w:rsid w:val="006F767C"/>
    <w:rsid w:val="00700343"/>
    <w:rsid w:val="00706140"/>
    <w:rsid w:val="00722635"/>
    <w:rsid w:val="00724E85"/>
    <w:rsid w:val="0072585F"/>
    <w:rsid w:val="00725C33"/>
    <w:rsid w:val="00736D46"/>
    <w:rsid w:val="00744BBB"/>
    <w:rsid w:val="00744CF8"/>
    <w:rsid w:val="00753A05"/>
    <w:rsid w:val="00753E73"/>
    <w:rsid w:val="007559FC"/>
    <w:rsid w:val="0077251D"/>
    <w:rsid w:val="00772F75"/>
    <w:rsid w:val="0077797C"/>
    <w:rsid w:val="0078024C"/>
    <w:rsid w:val="007852DA"/>
    <w:rsid w:val="00787C78"/>
    <w:rsid w:val="00787F3F"/>
    <w:rsid w:val="00794365"/>
    <w:rsid w:val="00796A1C"/>
    <w:rsid w:val="00796F02"/>
    <w:rsid w:val="007A4CC4"/>
    <w:rsid w:val="007B7211"/>
    <w:rsid w:val="007C1076"/>
    <w:rsid w:val="007C33A4"/>
    <w:rsid w:val="007C4F74"/>
    <w:rsid w:val="007D1726"/>
    <w:rsid w:val="007D1A3D"/>
    <w:rsid w:val="007D55DB"/>
    <w:rsid w:val="007E190F"/>
    <w:rsid w:val="007E44F9"/>
    <w:rsid w:val="007F1C86"/>
    <w:rsid w:val="007F2177"/>
    <w:rsid w:val="007F61B1"/>
    <w:rsid w:val="007F662C"/>
    <w:rsid w:val="00811B84"/>
    <w:rsid w:val="00811FC3"/>
    <w:rsid w:val="00812835"/>
    <w:rsid w:val="008258BB"/>
    <w:rsid w:val="00825B36"/>
    <w:rsid w:val="00826AAA"/>
    <w:rsid w:val="00834381"/>
    <w:rsid w:val="00844F06"/>
    <w:rsid w:val="00852EEB"/>
    <w:rsid w:val="00862E92"/>
    <w:rsid w:val="0087733D"/>
    <w:rsid w:val="008774C1"/>
    <w:rsid w:val="00883B68"/>
    <w:rsid w:val="00884CD0"/>
    <w:rsid w:val="0089065D"/>
    <w:rsid w:val="00893307"/>
    <w:rsid w:val="00894278"/>
    <w:rsid w:val="00895519"/>
    <w:rsid w:val="00895916"/>
    <w:rsid w:val="008979E9"/>
    <w:rsid w:val="008A09FA"/>
    <w:rsid w:val="008B0F15"/>
    <w:rsid w:val="008B4BB3"/>
    <w:rsid w:val="008C2826"/>
    <w:rsid w:val="008D01E3"/>
    <w:rsid w:val="008D188A"/>
    <w:rsid w:val="008D3B3E"/>
    <w:rsid w:val="008D6E4F"/>
    <w:rsid w:val="008F4C39"/>
    <w:rsid w:val="009031E9"/>
    <w:rsid w:val="00906438"/>
    <w:rsid w:val="0090752E"/>
    <w:rsid w:val="009115DC"/>
    <w:rsid w:val="00934693"/>
    <w:rsid w:val="00950730"/>
    <w:rsid w:val="00952E15"/>
    <w:rsid w:val="00956759"/>
    <w:rsid w:val="0097048E"/>
    <w:rsid w:val="009708E1"/>
    <w:rsid w:val="0097223E"/>
    <w:rsid w:val="0098050F"/>
    <w:rsid w:val="00983106"/>
    <w:rsid w:val="0098532A"/>
    <w:rsid w:val="00985436"/>
    <w:rsid w:val="009865A1"/>
    <w:rsid w:val="009868E5"/>
    <w:rsid w:val="00991CF0"/>
    <w:rsid w:val="00995F67"/>
    <w:rsid w:val="00996D30"/>
    <w:rsid w:val="009A1752"/>
    <w:rsid w:val="009A5156"/>
    <w:rsid w:val="009B00A2"/>
    <w:rsid w:val="009B11E3"/>
    <w:rsid w:val="009B2C05"/>
    <w:rsid w:val="009B5258"/>
    <w:rsid w:val="009C1DDC"/>
    <w:rsid w:val="009C24D0"/>
    <w:rsid w:val="009D3D28"/>
    <w:rsid w:val="009D467A"/>
    <w:rsid w:val="009D6E0A"/>
    <w:rsid w:val="009E33B4"/>
    <w:rsid w:val="009F3530"/>
    <w:rsid w:val="00A02E7C"/>
    <w:rsid w:val="00A042C7"/>
    <w:rsid w:val="00A107EA"/>
    <w:rsid w:val="00A11D38"/>
    <w:rsid w:val="00A2056C"/>
    <w:rsid w:val="00A229B9"/>
    <w:rsid w:val="00A269B6"/>
    <w:rsid w:val="00A273A2"/>
    <w:rsid w:val="00A45FD0"/>
    <w:rsid w:val="00A515D3"/>
    <w:rsid w:val="00A5414B"/>
    <w:rsid w:val="00A5619D"/>
    <w:rsid w:val="00A566FB"/>
    <w:rsid w:val="00A56913"/>
    <w:rsid w:val="00A57B38"/>
    <w:rsid w:val="00A66A32"/>
    <w:rsid w:val="00A670D7"/>
    <w:rsid w:val="00A67182"/>
    <w:rsid w:val="00A7379E"/>
    <w:rsid w:val="00A738FE"/>
    <w:rsid w:val="00A73C3B"/>
    <w:rsid w:val="00A8040A"/>
    <w:rsid w:val="00A807D3"/>
    <w:rsid w:val="00A8094B"/>
    <w:rsid w:val="00A945FB"/>
    <w:rsid w:val="00A96D2A"/>
    <w:rsid w:val="00AA1606"/>
    <w:rsid w:val="00AA312C"/>
    <w:rsid w:val="00AA6190"/>
    <w:rsid w:val="00AB68D1"/>
    <w:rsid w:val="00AB72B3"/>
    <w:rsid w:val="00AB7A9D"/>
    <w:rsid w:val="00AC11BC"/>
    <w:rsid w:val="00AD2C32"/>
    <w:rsid w:val="00AE5CEA"/>
    <w:rsid w:val="00AF7E8F"/>
    <w:rsid w:val="00B00240"/>
    <w:rsid w:val="00B05181"/>
    <w:rsid w:val="00B069D8"/>
    <w:rsid w:val="00B07B12"/>
    <w:rsid w:val="00B13071"/>
    <w:rsid w:val="00B176F2"/>
    <w:rsid w:val="00B24452"/>
    <w:rsid w:val="00B32F58"/>
    <w:rsid w:val="00B33017"/>
    <w:rsid w:val="00B344F8"/>
    <w:rsid w:val="00B3592E"/>
    <w:rsid w:val="00B362D7"/>
    <w:rsid w:val="00B37354"/>
    <w:rsid w:val="00B42105"/>
    <w:rsid w:val="00B471DE"/>
    <w:rsid w:val="00B5590B"/>
    <w:rsid w:val="00B57460"/>
    <w:rsid w:val="00B71BE2"/>
    <w:rsid w:val="00B769A4"/>
    <w:rsid w:val="00B77A9B"/>
    <w:rsid w:val="00B8480E"/>
    <w:rsid w:val="00B84D4D"/>
    <w:rsid w:val="00BA6559"/>
    <w:rsid w:val="00BB12EE"/>
    <w:rsid w:val="00BB2BF1"/>
    <w:rsid w:val="00BB6942"/>
    <w:rsid w:val="00BB6F0E"/>
    <w:rsid w:val="00BB75A5"/>
    <w:rsid w:val="00BD2FEC"/>
    <w:rsid w:val="00BD381F"/>
    <w:rsid w:val="00BD73C8"/>
    <w:rsid w:val="00BE012D"/>
    <w:rsid w:val="00BE1395"/>
    <w:rsid w:val="00BF13F1"/>
    <w:rsid w:val="00BF3ACC"/>
    <w:rsid w:val="00BF6DBC"/>
    <w:rsid w:val="00C01785"/>
    <w:rsid w:val="00C16340"/>
    <w:rsid w:val="00C402C2"/>
    <w:rsid w:val="00C430D5"/>
    <w:rsid w:val="00C52955"/>
    <w:rsid w:val="00C564B5"/>
    <w:rsid w:val="00C63249"/>
    <w:rsid w:val="00C6466D"/>
    <w:rsid w:val="00C651B1"/>
    <w:rsid w:val="00C65271"/>
    <w:rsid w:val="00C6529B"/>
    <w:rsid w:val="00C65C6B"/>
    <w:rsid w:val="00C8293C"/>
    <w:rsid w:val="00C97B5A"/>
    <w:rsid w:val="00CA7D85"/>
    <w:rsid w:val="00CB7646"/>
    <w:rsid w:val="00CC3521"/>
    <w:rsid w:val="00CD01A7"/>
    <w:rsid w:val="00CD2228"/>
    <w:rsid w:val="00CF23F6"/>
    <w:rsid w:val="00CF572C"/>
    <w:rsid w:val="00D00E06"/>
    <w:rsid w:val="00D223BB"/>
    <w:rsid w:val="00D224BE"/>
    <w:rsid w:val="00D259B5"/>
    <w:rsid w:val="00D27F72"/>
    <w:rsid w:val="00D33261"/>
    <w:rsid w:val="00D4391E"/>
    <w:rsid w:val="00D454FC"/>
    <w:rsid w:val="00D55B4E"/>
    <w:rsid w:val="00D63194"/>
    <w:rsid w:val="00D76F4C"/>
    <w:rsid w:val="00D80E19"/>
    <w:rsid w:val="00D83259"/>
    <w:rsid w:val="00D92C7F"/>
    <w:rsid w:val="00DA2A9C"/>
    <w:rsid w:val="00DC7C77"/>
    <w:rsid w:val="00DD4660"/>
    <w:rsid w:val="00DD6022"/>
    <w:rsid w:val="00DE6B58"/>
    <w:rsid w:val="00DF3241"/>
    <w:rsid w:val="00DF53B7"/>
    <w:rsid w:val="00DF7F45"/>
    <w:rsid w:val="00E0509B"/>
    <w:rsid w:val="00E16028"/>
    <w:rsid w:val="00E17650"/>
    <w:rsid w:val="00E22C01"/>
    <w:rsid w:val="00E2346A"/>
    <w:rsid w:val="00E402AE"/>
    <w:rsid w:val="00E45836"/>
    <w:rsid w:val="00E45FEC"/>
    <w:rsid w:val="00E57FCA"/>
    <w:rsid w:val="00E641A1"/>
    <w:rsid w:val="00E733F1"/>
    <w:rsid w:val="00E810A3"/>
    <w:rsid w:val="00E861E0"/>
    <w:rsid w:val="00E967B7"/>
    <w:rsid w:val="00E97924"/>
    <w:rsid w:val="00EA4644"/>
    <w:rsid w:val="00EA4E93"/>
    <w:rsid w:val="00EA60C1"/>
    <w:rsid w:val="00EB5C03"/>
    <w:rsid w:val="00EC052A"/>
    <w:rsid w:val="00EC0619"/>
    <w:rsid w:val="00EC1E59"/>
    <w:rsid w:val="00EE14FF"/>
    <w:rsid w:val="00EE4ACE"/>
    <w:rsid w:val="00EF0D4F"/>
    <w:rsid w:val="00EF12E0"/>
    <w:rsid w:val="00EF23B3"/>
    <w:rsid w:val="00EF75A7"/>
    <w:rsid w:val="00F01331"/>
    <w:rsid w:val="00F0376C"/>
    <w:rsid w:val="00F06F8D"/>
    <w:rsid w:val="00F14AFF"/>
    <w:rsid w:val="00F15D80"/>
    <w:rsid w:val="00F1747A"/>
    <w:rsid w:val="00F2556D"/>
    <w:rsid w:val="00F30161"/>
    <w:rsid w:val="00F34CD1"/>
    <w:rsid w:val="00F44004"/>
    <w:rsid w:val="00F51C26"/>
    <w:rsid w:val="00F67435"/>
    <w:rsid w:val="00F7225C"/>
    <w:rsid w:val="00F76D8B"/>
    <w:rsid w:val="00F802AA"/>
    <w:rsid w:val="00F87735"/>
    <w:rsid w:val="00F923C1"/>
    <w:rsid w:val="00F969EE"/>
    <w:rsid w:val="00FA4D93"/>
    <w:rsid w:val="00FA7D05"/>
    <w:rsid w:val="00FB228F"/>
    <w:rsid w:val="00FB3355"/>
    <w:rsid w:val="00FB4007"/>
    <w:rsid w:val="00FB61DA"/>
    <w:rsid w:val="00FC0B1D"/>
    <w:rsid w:val="00FC698F"/>
    <w:rsid w:val="00FC7343"/>
    <w:rsid w:val="00FD3A33"/>
    <w:rsid w:val="00FD69E5"/>
    <w:rsid w:val="00FF4CBE"/>
    <w:rsid w:val="00FF58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C3F5F3"/>
  <w15:docId w15:val="{436C431F-DC59-4249-A145-BDB702CCC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626B1E"/>
    <w:pPr>
      <w:keepNext/>
      <w:spacing w:before="240" w:after="60" w:line="240" w:lineRule="auto"/>
      <w:outlineLvl w:val="0"/>
    </w:pPr>
    <w:rPr>
      <w:rFonts w:ascii="Calibri Light" w:eastAsia="Times New Roman" w:hAnsi="Calibri Light" w:cs="Times New Roman"/>
      <w:b/>
      <w:bCs/>
      <w:kern w:val="32"/>
      <w:sz w:val="32"/>
      <w:szCs w:val="32"/>
      <w:lang w:val="en-ID" w:eastAsia="en-ID"/>
    </w:rPr>
  </w:style>
  <w:style w:type="paragraph" w:styleId="Heading2">
    <w:name w:val="heading 2"/>
    <w:basedOn w:val="Normal"/>
    <w:next w:val="Normal"/>
    <w:link w:val="Heading2Char"/>
    <w:uiPriority w:val="9"/>
    <w:semiHidden/>
    <w:unhideWhenUsed/>
    <w:qFormat/>
    <w:rsid w:val="00A042C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BE139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7F662C"/>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25C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725C33"/>
    <w:pPr>
      <w:spacing w:line="240" w:lineRule="auto"/>
    </w:pPr>
    <w:rPr>
      <w:b/>
      <w:bCs/>
      <w:color w:val="4F81BD" w:themeColor="accent1"/>
      <w:sz w:val="18"/>
      <w:szCs w:val="18"/>
    </w:rPr>
  </w:style>
  <w:style w:type="paragraph" w:styleId="BalloonText">
    <w:name w:val="Balloon Text"/>
    <w:basedOn w:val="Normal"/>
    <w:link w:val="BalloonTextChar"/>
    <w:uiPriority w:val="99"/>
    <w:semiHidden/>
    <w:unhideWhenUsed/>
    <w:rsid w:val="006970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70F9"/>
    <w:rPr>
      <w:rFonts w:ascii="Tahoma" w:hAnsi="Tahoma" w:cs="Tahoma"/>
      <w:sz w:val="16"/>
      <w:szCs w:val="16"/>
    </w:rPr>
  </w:style>
  <w:style w:type="paragraph" w:styleId="Header">
    <w:name w:val="header"/>
    <w:basedOn w:val="Normal"/>
    <w:link w:val="HeaderChar"/>
    <w:uiPriority w:val="99"/>
    <w:unhideWhenUsed/>
    <w:rsid w:val="003D7A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7AFA"/>
  </w:style>
  <w:style w:type="paragraph" w:styleId="Footer">
    <w:name w:val="footer"/>
    <w:basedOn w:val="Normal"/>
    <w:link w:val="FooterChar"/>
    <w:uiPriority w:val="99"/>
    <w:unhideWhenUsed/>
    <w:rsid w:val="003D7A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7AFA"/>
  </w:style>
  <w:style w:type="paragraph" w:styleId="ListParagraph">
    <w:name w:val="List Paragraph"/>
    <w:aliases w:val="Body of text,heading 3,Paragraf ISI,Paragraf ISI1,Paragraf ISI2,Paragraf ISI3,Paragraf ISI11,Paragraf ISI21,List Paragraph1,Colorful List - Accent 11,Body of text+1,Body of text+2,Body of text+3,List Paragraph11,Medium Grid 1 - Accent 21"/>
    <w:basedOn w:val="Normal"/>
    <w:link w:val="ListParagraphChar"/>
    <w:uiPriority w:val="34"/>
    <w:qFormat/>
    <w:rsid w:val="007D1726"/>
    <w:pPr>
      <w:spacing w:after="0" w:line="240" w:lineRule="auto"/>
      <w:ind w:left="720"/>
      <w:contextualSpacing/>
    </w:pPr>
    <w:rPr>
      <w:rFonts w:ascii="Times New Roman" w:eastAsia="Times New Roman" w:hAnsi="Times New Roman" w:cs="Times New Roman"/>
      <w:sz w:val="24"/>
      <w:szCs w:val="24"/>
    </w:rPr>
  </w:style>
  <w:style w:type="character" w:customStyle="1" w:styleId="ListParagraphChar">
    <w:name w:val="List Paragraph Char"/>
    <w:aliases w:val="Body of text Char,heading 3 Char,Paragraf ISI Char,Paragraf ISI1 Char,Paragraf ISI2 Char,Paragraf ISI3 Char,Paragraf ISI11 Char,Paragraf ISI21 Char,List Paragraph1 Char,Colorful List - Accent 11 Char,Body of text+1 Char"/>
    <w:basedOn w:val="DefaultParagraphFont"/>
    <w:link w:val="ListParagraph"/>
    <w:uiPriority w:val="72"/>
    <w:qFormat/>
    <w:rsid w:val="00BE1395"/>
    <w:rPr>
      <w:rFonts w:ascii="Times New Roman" w:eastAsia="Times New Roman" w:hAnsi="Times New Roman" w:cs="Times New Roman"/>
      <w:sz w:val="24"/>
      <w:szCs w:val="24"/>
    </w:rPr>
  </w:style>
  <w:style w:type="table" w:styleId="LightShading">
    <w:name w:val="Light Shading"/>
    <w:basedOn w:val="TableNormal"/>
    <w:uiPriority w:val="60"/>
    <w:rsid w:val="00BE139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421">
    <w:name w:val="4.2.1"/>
    <w:basedOn w:val="Heading3"/>
    <w:link w:val="421Char"/>
    <w:rsid w:val="00BE1395"/>
    <w:pPr>
      <w:keepNext w:val="0"/>
      <w:keepLines w:val="0"/>
      <w:spacing w:before="0" w:after="200" w:line="480" w:lineRule="auto"/>
      <w:ind w:left="1134" w:hanging="567"/>
      <w:contextualSpacing/>
      <w:jc w:val="both"/>
    </w:pPr>
    <w:rPr>
      <w:rFonts w:ascii="Times New Roman" w:eastAsiaTheme="minorHAnsi" w:hAnsi="Times New Roman" w:cs="Times New Roman"/>
      <w:color w:val="auto"/>
    </w:rPr>
  </w:style>
  <w:style w:type="character" w:customStyle="1" w:styleId="421Char">
    <w:name w:val="4.2.1 Char"/>
    <w:basedOn w:val="DefaultParagraphFont"/>
    <w:link w:val="421"/>
    <w:rsid w:val="00BE1395"/>
    <w:rPr>
      <w:rFonts w:ascii="Times New Roman" w:hAnsi="Times New Roman" w:cs="Times New Roman"/>
      <w:sz w:val="24"/>
      <w:szCs w:val="24"/>
    </w:rPr>
  </w:style>
  <w:style w:type="character" w:customStyle="1" w:styleId="Heading3Char">
    <w:name w:val="Heading 3 Char"/>
    <w:basedOn w:val="DefaultParagraphFont"/>
    <w:link w:val="Heading3"/>
    <w:uiPriority w:val="9"/>
    <w:rsid w:val="00BE1395"/>
    <w:rPr>
      <w:rFonts w:asciiTheme="majorHAnsi" w:eastAsiaTheme="majorEastAsia" w:hAnsiTheme="majorHAnsi" w:cstheme="majorBidi"/>
      <w:color w:val="243F60" w:themeColor="accent1" w:themeShade="7F"/>
      <w:sz w:val="24"/>
      <w:szCs w:val="24"/>
    </w:rPr>
  </w:style>
  <w:style w:type="paragraph" w:customStyle="1" w:styleId="isi2subbab">
    <w:name w:val="isi 2 subbab"/>
    <w:basedOn w:val="Normal"/>
    <w:qFormat/>
    <w:rsid w:val="0042687B"/>
    <w:pPr>
      <w:spacing w:after="0" w:line="480" w:lineRule="auto"/>
      <w:jc w:val="both"/>
    </w:pPr>
    <w:rPr>
      <w:rFonts w:ascii="Times New Roman" w:hAnsi="Times New Roman"/>
      <w:sz w:val="24"/>
    </w:rPr>
  </w:style>
  <w:style w:type="character" w:styleId="Hyperlink">
    <w:name w:val="Hyperlink"/>
    <w:basedOn w:val="DefaultParagraphFont"/>
    <w:uiPriority w:val="99"/>
    <w:unhideWhenUsed/>
    <w:rsid w:val="00B8480E"/>
    <w:rPr>
      <w:color w:val="0000FF" w:themeColor="hyperlink"/>
      <w:u w:val="single"/>
    </w:rPr>
  </w:style>
  <w:style w:type="character" w:styleId="UnresolvedMention">
    <w:name w:val="Unresolved Mention"/>
    <w:basedOn w:val="DefaultParagraphFont"/>
    <w:uiPriority w:val="99"/>
    <w:semiHidden/>
    <w:unhideWhenUsed/>
    <w:rsid w:val="00B8480E"/>
    <w:rPr>
      <w:color w:val="605E5C"/>
      <w:shd w:val="clear" w:color="auto" w:fill="E1DFDD"/>
    </w:rPr>
  </w:style>
  <w:style w:type="paragraph" w:customStyle="1" w:styleId="Default">
    <w:name w:val="Default"/>
    <w:rsid w:val="00FD69E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1Char">
    <w:name w:val="Heading 1 Char"/>
    <w:basedOn w:val="DefaultParagraphFont"/>
    <w:link w:val="Heading1"/>
    <w:rsid w:val="00626B1E"/>
    <w:rPr>
      <w:rFonts w:ascii="Calibri Light" w:eastAsia="Times New Roman" w:hAnsi="Calibri Light" w:cs="Times New Roman"/>
      <w:b/>
      <w:bCs/>
      <w:kern w:val="32"/>
      <w:sz w:val="32"/>
      <w:szCs w:val="32"/>
      <w:lang w:val="en-ID" w:eastAsia="en-ID"/>
    </w:rPr>
  </w:style>
  <w:style w:type="paragraph" w:styleId="BodyTextIndent2">
    <w:name w:val="Body Text Indent 2"/>
    <w:basedOn w:val="Normal"/>
    <w:link w:val="BodyTextIndent2Char"/>
    <w:rsid w:val="006A7E17"/>
    <w:pPr>
      <w:spacing w:after="0" w:line="360" w:lineRule="auto"/>
      <w:ind w:left="1440"/>
    </w:pPr>
    <w:rPr>
      <w:rFonts w:ascii="Times New Roman" w:eastAsia="MS Mincho" w:hAnsi="Times New Roman" w:cs="Times New Roman"/>
      <w:sz w:val="24"/>
      <w:szCs w:val="24"/>
      <w:lang w:val="en-GB" w:eastAsia="ja-JP"/>
    </w:rPr>
  </w:style>
  <w:style w:type="character" w:customStyle="1" w:styleId="BodyTextIndent2Char">
    <w:name w:val="Body Text Indent 2 Char"/>
    <w:basedOn w:val="DefaultParagraphFont"/>
    <w:link w:val="BodyTextIndent2"/>
    <w:rsid w:val="006A7E17"/>
    <w:rPr>
      <w:rFonts w:ascii="Times New Roman" w:eastAsia="MS Mincho" w:hAnsi="Times New Roman" w:cs="Times New Roman"/>
      <w:sz w:val="24"/>
      <w:szCs w:val="24"/>
      <w:lang w:val="en-GB" w:eastAsia="ja-JP"/>
    </w:rPr>
  </w:style>
  <w:style w:type="paragraph" w:customStyle="1" w:styleId="2normal">
    <w:name w:val="__2normal"/>
    <w:basedOn w:val="Normal"/>
    <w:link w:val="2normalChar"/>
    <w:qFormat/>
    <w:rsid w:val="00B05181"/>
    <w:pPr>
      <w:spacing w:after="0" w:line="360" w:lineRule="auto"/>
      <w:ind w:firstLine="993"/>
      <w:jc w:val="both"/>
    </w:pPr>
    <w:rPr>
      <w:rFonts w:ascii="Arial" w:eastAsia="SimSun" w:hAnsi="Arial" w:cs="Arial"/>
      <w:color w:val="000000" w:themeColor="text1"/>
      <w:szCs w:val="24"/>
      <w:lang w:val="id-ID"/>
    </w:rPr>
  </w:style>
  <w:style w:type="character" w:customStyle="1" w:styleId="2normalChar">
    <w:name w:val="__2normal Char"/>
    <w:basedOn w:val="DefaultParagraphFont"/>
    <w:link w:val="2normal"/>
    <w:rsid w:val="00B05181"/>
    <w:rPr>
      <w:rFonts w:ascii="Arial" w:eastAsia="SimSun" w:hAnsi="Arial" w:cs="Arial"/>
      <w:color w:val="000000" w:themeColor="text1"/>
      <w:szCs w:val="24"/>
      <w:lang w:val="id-ID"/>
    </w:rPr>
  </w:style>
  <w:style w:type="character" w:customStyle="1" w:styleId="Heading2Char">
    <w:name w:val="Heading 2 Char"/>
    <w:basedOn w:val="DefaultParagraphFont"/>
    <w:link w:val="Heading2"/>
    <w:uiPriority w:val="9"/>
    <w:semiHidden/>
    <w:rsid w:val="00A042C7"/>
    <w:rPr>
      <w:rFonts w:asciiTheme="majorHAnsi" w:eastAsiaTheme="majorEastAsia" w:hAnsiTheme="majorHAnsi" w:cstheme="majorBidi"/>
      <w:color w:val="365F91" w:themeColor="accent1" w:themeShade="BF"/>
      <w:sz w:val="26"/>
      <w:szCs w:val="26"/>
    </w:rPr>
  </w:style>
  <w:style w:type="paragraph" w:customStyle="1" w:styleId="TableParagraph">
    <w:name w:val="Table Paragraph"/>
    <w:basedOn w:val="Normal"/>
    <w:uiPriority w:val="1"/>
    <w:qFormat/>
    <w:rsid w:val="00AE5CEA"/>
    <w:pPr>
      <w:widowControl w:val="0"/>
      <w:autoSpaceDE w:val="0"/>
      <w:autoSpaceDN w:val="0"/>
      <w:spacing w:after="0" w:line="268" w:lineRule="exact"/>
    </w:pPr>
    <w:rPr>
      <w:rFonts w:ascii="Times New Roman" w:eastAsia="Times New Roman" w:hAnsi="Times New Roman" w:cs="Times New Roman"/>
      <w:lang w:val="en-ID"/>
    </w:rPr>
  </w:style>
  <w:style w:type="paragraph" w:styleId="FootnoteText">
    <w:name w:val="footnote text"/>
    <w:basedOn w:val="Normal"/>
    <w:link w:val="FootnoteTextChar"/>
    <w:uiPriority w:val="99"/>
    <w:semiHidden/>
    <w:unhideWhenUsed/>
    <w:rsid w:val="00894278"/>
    <w:pPr>
      <w:spacing w:after="0" w:line="240" w:lineRule="auto"/>
    </w:pPr>
    <w:rPr>
      <w:sz w:val="20"/>
      <w:szCs w:val="20"/>
      <w:lang w:val="id-ID"/>
    </w:rPr>
  </w:style>
  <w:style w:type="character" w:customStyle="1" w:styleId="FootnoteTextChar">
    <w:name w:val="Footnote Text Char"/>
    <w:basedOn w:val="DefaultParagraphFont"/>
    <w:link w:val="FootnoteText"/>
    <w:uiPriority w:val="99"/>
    <w:semiHidden/>
    <w:rsid w:val="00894278"/>
    <w:rPr>
      <w:sz w:val="20"/>
      <w:szCs w:val="20"/>
      <w:lang w:val="id-ID"/>
    </w:rPr>
  </w:style>
  <w:style w:type="table" w:customStyle="1" w:styleId="TableGrid1">
    <w:name w:val="Table Grid1"/>
    <w:basedOn w:val="TableNormal"/>
    <w:next w:val="TableGrid"/>
    <w:uiPriority w:val="39"/>
    <w:rsid w:val="009D3D28"/>
    <w:pPr>
      <w:spacing w:after="0" w:line="240" w:lineRule="auto"/>
    </w:pPr>
    <w:rPr>
      <w:rFonts w:ascii="Calibri" w:eastAsia="Calibri" w:hAnsi="Calibri" w:cs="Calibri"/>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2">
    <w:name w:val="Plain Table 212"/>
    <w:basedOn w:val="TableNormal"/>
    <w:uiPriority w:val="42"/>
    <w:rsid w:val="00EF75A7"/>
    <w:pPr>
      <w:spacing w:after="0" w:line="240" w:lineRule="auto"/>
    </w:p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BodyText">
    <w:name w:val="Body Text"/>
    <w:basedOn w:val="Normal"/>
    <w:link w:val="BodyTextChar"/>
    <w:uiPriority w:val="99"/>
    <w:semiHidden/>
    <w:unhideWhenUsed/>
    <w:rsid w:val="00041164"/>
    <w:pPr>
      <w:spacing w:after="120"/>
    </w:pPr>
  </w:style>
  <w:style w:type="character" w:customStyle="1" w:styleId="BodyTextChar">
    <w:name w:val="Body Text Char"/>
    <w:basedOn w:val="DefaultParagraphFont"/>
    <w:link w:val="BodyText"/>
    <w:uiPriority w:val="99"/>
    <w:semiHidden/>
    <w:rsid w:val="00041164"/>
  </w:style>
  <w:style w:type="paragraph" w:styleId="BodyTextIndent">
    <w:name w:val="Body Text Indent"/>
    <w:basedOn w:val="Normal"/>
    <w:link w:val="BodyTextIndentChar"/>
    <w:uiPriority w:val="99"/>
    <w:semiHidden/>
    <w:unhideWhenUsed/>
    <w:rsid w:val="00041164"/>
    <w:pPr>
      <w:spacing w:after="120"/>
      <w:ind w:left="283"/>
    </w:pPr>
  </w:style>
  <w:style w:type="character" w:customStyle="1" w:styleId="BodyTextIndentChar">
    <w:name w:val="Body Text Indent Char"/>
    <w:basedOn w:val="DefaultParagraphFont"/>
    <w:link w:val="BodyTextIndent"/>
    <w:uiPriority w:val="99"/>
    <w:semiHidden/>
    <w:rsid w:val="00041164"/>
  </w:style>
  <w:style w:type="paragraph" w:styleId="BodyText2">
    <w:name w:val="Body Text 2"/>
    <w:basedOn w:val="Normal"/>
    <w:link w:val="BodyText2Char"/>
    <w:uiPriority w:val="99"/>
    <w:semiHidden/>
    <w:unhideWhenUsed/>
    <w:rsid w:val="00041164"/>
    <w:pPr>
      <w:spacing w:after="120" w:line="480" w:lineRule="auto"/>
    </w:pPr>
  </w:style>
  <w:style w:type="character" w:customStyle="1" w:styleId="BodyText2Char">
    <w:name w:val="Body Text 2 Char"/>
    <w:basedOn w:val="DefaultParagraphFont"/>
    <w:link w:val="BodyText2"/>
    <w:uiPriority w:val="99"/>
    <w:semiHidden/>
    <w:rsid w:val="00041164"/>
  </w:style>
  <w:style w:type="paragraph" w:styleId="NormalWeb">
    <w:name w:val="Normal (Web)"/>
    <w:basedOn w:val="Normal"/>
    <w:uiPriority w:val="99"/>
    <w:unhideWhenUsed/>
    <w:qFormat/>
    <w:rsid w:val="0005006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A54C2"/>
    <w:rPr>
      <w:b/>
      <w:bCs/>
    </w:rPr>
  </w:style>
  <w:style w:type="character" w:customStyle="1" w:styleId="Heading4Char">
    <w:name w:val="Heading 4 Char"/>
    <w:basedOn w:val="DefaultParagraphFont"/>
    <w:link w:val="Heading4"/>
    <w:uiPriority w:val="9"/>
    <w:semiHidden/>
    <w:rsid w:val="007F662C"/>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737827">
      <w:bodyDiv w:val="1"/>
      <w:marLeft w:val="0"/>
      <w:marRight w:val="0"/>
      <w:marTop w:val="0"/>
      <w:marBottom w:val="0"/>
      <w:divBdr>
        <w:top w:val="none" w:sz="0" w:space="0" w:color="auto"/>
        <w:left w:val="none" w:sz="0" w:space="0" w:color="auto"/>
        <w:bottom w:val="none" w:sz="0" w:space="0" w:color="auto"/>
        <w:right w:val="none" w:sz="0" w:space="0" w:color="auto"/>
      </w:divBdr>
    </w:div>
    <w:div w:id="117719904">
      <w:bodyDiv w:val="1"/>
      <w:marLeft w:val="0"/>
      <w:marRight w:val="0"/>
      <w:marTop w:val="0"/>
      <w:marBottom w:val="0"/>
      <w:divBdr>
        <w:top w:val="none" w:sz="0" w:space="0" w:color="auto"/>
        <w:left w:val="none" w:sz="0" w:space="0" w:color="auto"/>
        <w:bottom w:val="none" w:sz="0" w:space="0" w:color="auto"/>
        <w:right w:val="none" w:sz="0" w:space="0" w:color="auto"/>
      </w:divBdr>
    </w:div>
    <w:div w:id="120998293">
      <w:bodyDiv w:val="1"/>
      <w:marLeft w:val="0"/>
      <w:marRight w:val="0"/>
      <w:marTop w:val="0"/>
      <w:marBottom w:val="0"/>
      <w:divBdr>
        <w:top w:val="none" w:sz="0" w:space="0" w:color="auto"/>
        <w:left w:val="none" w:sz="0" w:space="0" w:color="auto"/>
        <w:bottom w:val="none" w:sz="0" w:space="0" w:color="auto"/>
        <w:right w:val="none" w:sz="0" w:space="0" w:color="auto"/>
      </w:divBdr>
    </w:div>
    <w:div w:id="197403325">
      <w:bodyDiv w:val="1"/>
      <w:marLeft w:val="0"/>
      <w:marRight w:val="0"/>
      <w:marTop w:val="0"/>
      <w:marBottom w:val="0"/>
      <w:divBdr>
        <w:top w:val="none" w:sz="0" w:space="0" w:color="auto"/>
        <w:left w:val="none" w:sz="0" w:space="0" w:color="auto"/>
        <w:bottom w:val="none" w:sz="0" w:space="0" w:color="auto"/>
        <w:right w:val="none" w:sz="0" w:space="0" w:color="auto"/>
      </w:divBdr>
    </w:div>
    <w:div w:id="280889642">
      <w:bodyDiv w:val="1"/>
      <w:marLeft w:val="0"/>
      <w:marRight w:val="0"/>
      <w:marTop w:val="0"/>
      <w:marBottom w:val="0"/>
      <w:divBdr>
        <w:top w:val="none" w:sz="0" w:space="0" w:color="auto"/>
        <w:left w:val="none" w:sz="0" w:space="0" w:color="auto"/>
        <w:bottom w:val="none" w:sz="0" w:space="0" w:color="auto"/>
        <w:right w:val="none" w:sz="0" w:space="0" w:color="auto"/>
      </w:divBdr>
    </w:div>
    <w:div w:id="329522682">
      <w:bodyDiv w:val="1"/>
      <w:marLeft w:val="0"/>
      <w:marRight w:val="0"/>
      <w:marTop w:val="0"/>
      <w:marBottom w:val="0"/>
      <w:divBdr>
        <w:top w:val="none" w:sz="0" w:space="0" w:color="auto"/>
        <w:left w:val="none" w:sz="0" w:space="0" w:color="auto"/>
        <w:bottom w:val="none" w:sz="0" w:space="0" w:color="auto"/>
        <w:right w:val="none" w:sz="0" w:space="0" w:color="auto"/>
      </w:divBdr>
    </w:div>
    <w:div w:id="410128472">
      <w:bodyDiv w:val="1"/>
      <w:marLeft w:val="0"/>
      <w:marRight w:val="0"/>
      <w:marTop w:val="0"/>
      <w:marBottom w:val="0"/>
      <w:divBdr>
        <w:top w:val="none" w:sz="0" w:space="0" w:color="auto"/>
        <w:left w:val="none" w:sz="0" w:space="0" w:color="auto"/>
        <w:bottom w:val="none" w:sz="0" w:space="0" w:color="auto"/>
        <w:right w:val="none" w:sz="0" w:space="0" w:color="auto"/>
      </w:divBdr>
    </w:div>
    <w:div w:id="486433143">
      <w:bodyDiv w:val="1"/>
      <w:marLeft w:val="0"/>
      <w:marRight w:val="0"/>
      <w:marTop w:val="0"/>
      <w:marBottom w:val="0"/>
      <w:divBdr>
        <w:top w:val="none" w:sz="0" w:space="0" w:color="auto"/>
        <w:left w:val="none" w:sz="0" w:space="0" w:color="auto"/>
        <w:bottom w:val="none" w:sz="0" w:space="0" w:color="auto"/>
        <w:right w:val="none" w:sz="0" w:space="0" w:color="auto"/>
      </w:divBdr>
    </w:div>
    <w:div w:id="527989222">
      <w:bodyDiv w:val="1"/>
      <w:marLeft w:val="0"/>
      <w:marRight w:val="0"/>
      <w:marTop w:val="0"/>
      <w:marBottom w:val="0"/>
      <w:divBdr>
        <w:top w:val="none" w:sz="0" w:space="0" w:color="auto"/>
        <w:left w:val="none" w:sz="0" w:space="0" w:color="auto"/>
        <w:bottom w:val="none" w:sz="0" w:space="0" w:color="auto"/>
        <w:right w:val="none" w:sz="0" w:space="0" w:color="auto"/>
      </w:divBdr>
    </w:div>
    <w:div w:id="600990043">
      <w:bodyDiv w:val="1"/>
      <w:marLeft w:val="0"/>
      <w:marRight w:val="0"/>
      <w:marTop w:val="0"/>
      <w:marBottom w:val="0"/>
      <w:divBdr>
        <w:top w:val="none" w:sz="0" w:space="0" w:color="auto"/>
        <w:left w:val="none" w:sz="0" w:space="0" w:color="auto"/>
        <w:bottom w:val="none" w:sz="0" w:space="0" w:color="auto"/>
        <w:right w:val="none" w:sz="0" w:space="0" w:color="auto"/>
      </w:divBdr>
    </w:div>
    <w:div w:id="680474036">
      <w:bodyDiv w:val="1"/>
      <w:marLeft w:val="0"/>
      <w:marRight w:val="0"/>
      <w:marTop w:val="0"/>
      <w:marBottom w:val="0"/>
      <w:divBdr>
        <w:top w:val="none" w:sz="0" w:space="0" w:color="auto"/>
        <w:left w:val="none" w:sz="0" w:space="0" w:color="auto"/>
        <w:bottom w:val="none" w:sz="0" w:space="0" w:color="auto"/>
        <w:right w:val="none" w:sz="0" w:space="0" w:color="auto"/>
      </w:divBdr>
    </w:div>
    <w:div w:id="717752475">
      <w:bodyDiv w:val="1"/>
      <w:marLeft w:val="0"/>
      <w:marRight w:val="0"/>
      <w:marTop w:val="0"/>
      <w:marBottom w:val="0"/>
      <w:divBdr>
        <w:top w:val="none" w:sz="0" w:space="0" w:color="auto"/>
        <w:left w:val="none" w:sz="0" w:space="0" w:color="auto"/>
        <w:bottom w:val="none" w:sz="0" w:space="0" w:color="auto"/>
        <w:right w:val="none" w:sz="0" w:space="0" w:color="auto"/>
      </w:divBdr>
    </w:div>
    <w:div w:id="920603945">
      <w:bodyDiv w:val="1"/>
      <w:marLeft w:val="0"/>
      <w:marRight w:val="0"/>
      <w:marTop w:val="0"/>
      <w:marBottom w:val="0"/>
      <w:divBdr>
        <w:top w:val="none" w:sz="0" w:space="0" w:color="auto"/>
        <w:left w:val="none" w:sz="0" w:space="0" w:color="auto"/>
        <w:bottom w:val="none" w:sz="0" w:space="0" w:color="auto"/>
        <w:right w:val="none" w:sz="0" w:space="0" w:color="auto"/>
      </w:divBdr>
    </w:div>
    <w:div w:id="1064254942">
      <w:bodyDiv w:val="1"/>
      <w:marLeft w:val="0"/>
      <w:marRight w:val="0"/>
      <w:marTop w:val="0"/>
      <w:marBottom w:val="0"/>
      <w:divBdr>
        <w:top w:val="none" w:sz="0" w:space="0" w:color="auto"/>
        <w:left w:val="none" w:sz="0" w:space="0" w:color="auto"/>
        <w:bottom w:val="none" w:sz="0" w:space="0" w:color="auto"/>
        <w:right w:val="none" w:sz="0" w:space="0" w:color="auto"/>
      </w:divBdr>
    </w:div>
    <w:div w:id="1075740470">
      <w:bodyDiv w:val="1"/>
      <w:marLeft w:val="0"/>
      <w:marRight w:val="0"/>
      <w:marTop w:val="0"/>
      <w:marBottom w:val="0"/>
      <w:divBdr>
        <w:top w:val="none" w:sz="0" w:space="0" w:color="auto"/>
        <w:left w:val="none" w:sz="0" w:space="0" w:color="auto"/>
        <w:bottom w:val="none" w:sz="0" w:space="0" w:color="auto"/>
        <w:right w:val="none" w:sz="0" w:space="0" w:color="auto"/>
      </w:divBdr>
    </w:div>
    <w:div w:id="1100833450">
      <w:bodyDiv w:val="1"/>
      <w:marLeft w:val="0"/>
      <w:marRight w:val="0"/>
      <w:marTop w:val="0"/>
      <w:marBottom w:val="0"/>
      <w:divBdr>
        <w:top w:val="none" w:sz="0" w:space="0" w:color="auto"/>
        <w:left w:val="none" w:sz="0" w:space="0" w:color="auto"/>
        <w:bottom w:val="none" w:sz="0" w:space="0" w:color="auto"/>
        <w:right w:val="none" w:sz="0" w:space="0" w:color="auto"/>
      </w:divBdr>
    </w:div>
    <w:div w:id="1175535774">
      <w:bodyDiv w:val="1"/>
      <w:marLeft w:val="0"/>
      <w:marRight w:val="0"/>
      <w:marTop w:val="0"/>
      <w:marBottom w:val="0"/>
      <w:divBdr>
        <w:top w:val="none" w:sz="0" w:space="0" w:color="auto"/>
        <w:left w:val="none" w:sz="0" w:space="0" w:color="auto"/>
        <w:bottom w:val="none" w:sz="0" w:space="0" w:color="auto"/>
        <w:right w:val="none" w:sz="0" w:space="0" w:color="auto"/>
      </w:divBdr>
    </w:div>
    <w:div w:id="1231698527">
      <w:bodyDiv w:val="1"/>
      <w:marLeft w:val="0"/>
      <w:marRight w:val="0"/>
      <w:marTop w:val="0"/>
      <w:marBottom w:val="0"/>
      <w:divBdr>
        <w:top w:val="none" w:sz="0" w:space="0" w:color="auto"/>
        <w:left w:val="none" w:sz="0" w:space="0" w:color="auto"/>
        <w:bottom w:val="none" w:sz="0" w:space="0" w:color="auto"/>
        <w:right w:val="none" w:sz="0" w:space="0" w:color="auto"/>
      </w:divBdr>
    </w:div>
    <w:div w:id="1279216839">
      <w:bodyDiv w:val="1"/>
      <w:marLeft w:val="0"/>
      <w:marRight w:val="0"/>
      <w:marTop w:val="0"/>
      <w:marBottom w:val="0"/>
      <w:divBdr>
        <w:top w:val="none" w:sz="0" w:space="0" w:color="auto"/>
        <w:left w:val="none" w:sz="0" w:space="0" w:color="auto"/>
        <w:bottom w:val="none" w:sz="0" w:space="0" w:color="auto"/>
        <w:right w:val="none" w:sz="0" w:space="0" w:color="auto"/>
      </w:divBdr>
    </w:div>
    <w:div w:id="1297687502">
      <w:bodyDiv w:val="1"/>
      <w:marLeft w:val="0"/>
      <w:marRight w:val="0"/>
      <w:marTop w:val="0"/>
      <w:marBottom w:val="0"/>
      <w:divBdr>
        <w:top w:val="none" w:sz="0" w:space="0" w:color="auto"/>
        <w:left w:val="none" w:sz="0" w:space="0" w:color="auto"/>
        <w:bottom w:val="none" w:sz="0" w:space="0" w:color="auto"/>
        <w:right w:val="none" w:sz="0" w:space="0" w:color="auto"/>
      </w:divBdr>
    </w:div>
    <w:div w:id="1314676711">
      <w:bodyDiv w:val="1"/>
      <w:marLeft w:val="0"/>
      <w:marRight w:val="0"/>
      <w:marTop w:val="0"/>
      <w:marBottom w:val="0"/>
      <w:divBdr>
        <w:top w:val="none" w:sz="0" w:space="0" w:color="auto"/>
        <w:left w:val="none" w:sz="0" w:space="0" w:color="auto"/>
        <w:bottom w:val="none" w:sz="0" w:space="0" w:color="auto"/>
        <w:right w:val="none" w:sz="0" w:space="0" w:color="auto"/>
      </w:divBdr>
    </w:div>
    <w:div w:id="1339230196">
      <w:bodyDiv w:val="1"/>
      <w:marLeft w:val="0"/>
      <w:marRight w:val="0"/>
      <w:marTop w:val="0"/>
      <w:marBottom w:val="0"/>
      <w:divBdr>
        <w:top w:val="none" w:sz="0" w:space="0" w:color="auto"/>
        <w:left w:val="none" w:sz="0" w:space="0" w:color="auto"/>
        <w:bottom w:val="none" w:sz="0" w:space="0" w:color="auto"/>
        <w:right w:val="none" w:sz="0" w:space="0" w:color="auto"/>
      </w:divBdr>
    </w:div>
    <w:div w:id="1444378341">
      <w:bodyDiv w:val="1"/>
      <w:marLeft w:val="0"/>
      <w:marRight w:val="0"/>
      <w:marTop w:val="0"/>
      <w:marBottom w:val="0"/>
      <w:divBdr>
        <w:top w:val="none" w:sz="0" w:space="0" w:color="auto"/>
        <w:left w:val="none" w:sz="0" w:space="0" w:color="auto"/>
        <w:bottom w:val="none" w:sz="0" w:space="0" w:color="auto"/>
        <w:right w:val="none" w:sz="0" w:space="0" w:color="auto"/>
      </w:divBdr>
    </w:div>
    <w:div w:id="1470200461">
      <w:bodyDiv w:val="1"/>
      <w:marLeft w:val="0"/>
      <w:marRight w:val="0"/>
      <w:marTop w:val="0"/>
      <w:marBottom w:val="0"/>
      <w:divBdr>
        <w:top w:val="none" w:sz="0" w:space="0" w:color="auto"/>
        <w:left w:val="none" w:sz="0" w:space="0" w:color="auto"/>
        <w:bottom w:val="none" w:sz="0" w:space="0" w:color="auto"/>
        <w:right w:val="none" w:sz="0" w:space="0" w:color="auto"/>
      </w:divBdr>
    </w:div>
    <w:div w:id="1520269608">
      <w:bodyDiv w:val="1"/>
      <w:marLeft w:val="0"/>
      <w:marRight w:val="0"/>
      <w:marTop w:val="0"/>
      <w:marBottom w:val="0"/>
      <w:divBdr>
        <w:top w:val="none" w:sz="0" w:space="0" w:color="auto"/>
        <w:left w:val="none" w:sz="0" w:space="0" w:color="auto"/>
        <w:bottom w:val="none" w:sz="0" w:space="0" w:color="auto"/>
        <w:right w:val="none" w:sz="0" w:space="0" w:color="auto"/>
      </w:divBdr>
    </w:div>
    <w:div w:id="1540698381">
      <w:bodyDiv w:val="1"/>
      <w:marLeft w:val="0"/>
      <w:marRight w:val="0"/>
      <w:marTop w:val="0"/>
      <w:marBottom w:val="0"/>
      <w:divBdr>
        <w:top w:val="none" w:sz="0" w:space="0" w:color="auto"/>
        <w:left w:val="none" w:sz="0" w:space="0" w:color="auto"/>
        <w:bottom w:val="none" w:sz="0" w:space="0" w:color="auto"/>
        <w:right w:val="none" w:sz="0" w:space="0" w:color="auto"/>
      </w:divBdr>
    </w:div>
    <w:div w:id="1611351864">
      <w:bodyDiv w:val="1"/>
      <w:marLeft w:val="0"/>
      <w:marRight w:val="0"/>
      <w:marTop w:val="0"/>
      <w:marBottom w:val="0"/>
      <w:divBdr>
        <w:top w:val="none" w:sz="0" w:space="0" w:color="auto"/>
        <w:left w:val="none" w:sz="0" w:space="0" w:color="auto"/>
        <w:bottom w:val="none" w:sz="0" w:space="0" w:color="auto"/>
        <w:right w:val="none" w:sz="0" w:space="0" w:color="auto"/>
      </w:divBdr>
    </w:div>
    <w:div w:id="1730881938">
      <w:bodyDiv w:val="1"/>
      <w:marLeft w:val="0"/>
      <w:marRight w:val="0"/>
      <w:marTop w:val="0"/>
      <w:marBottom w:val="0"/>
      <w:divBdr>
        <w:top w:val="none" w:sz="0" w:space="0" w:color="auto"/>
        <w:left w:val="none" w:sz="0" w:space="0" w:color="auto"/>
        <w:bottom w:val="none" w:sz="0" w:space="0" w:color="auto"/>
        <w:right w:val="none" w:sz="0" w:space="0" w:color="auto"/>
      </w:divBdr>
    </w:div>
    <w:div w:id="1750494280">
      <w:bodyDiv w:val="1"/>
      <w:marLeft w:val="0"/>
      <w:marRight w:val="0"/>
      <w:marTop w:val="0"/>
      <w:marBottom w:val="0"/>
      <w:divBdr>
        <w:top w:val="none" w:sz="0" w:space="0" w:color="auto"/>
        <w:left w:val="none" w:sz="0" w:space="0" w:color="auto"/>
        <w:bottom w:val="none" w:sz="0" w:space="0" w:color="auto"/>
        <w:right w:val="none" w:sz="0" w:space="0" w:color="auto"/>
      </w:divBdr>
    </w:div>
    <w:div w:id="1812936607">
      <w:bodyDiv w:val="1"/>
      <w:marLeft w:val="0"/>
      <w:marRight w:val="0"/>
      <w:marTop w:val="0"/>
      <w:marBottom w:val="0"/>
      <w:divBdr>
        <w:top w:val="none" w:sz="0" w:space="0" w:color="auto"/>
        <w:left w:val="none" w:sz="0" w:space="0" w:color="auto"/>
        <w:bottom w:val="none" w:sz="0" w:space="0" w:color="auto"/>
        <w:right w:val="none" w:sz="0" w:space="0" w:color="auto"/>
      </w:divBdr>
    </w:div>
    <w:div w:id="1866597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ijpls.org/index.php/IJPLS/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3577</TotalTime>
  <Pages>13</Pages>
  <Words>6466</Words>
  <Characters>36862</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292</cp:revision>
  <cp:lastPrinted>2025-07-21T23:17:00Z</cp:lastPrinted>
  <dcterms:created xsi:type="dcterms:W3CDTF">2022-01-18T03:07:00Z</dcterms:created>
  <dcterms:modified xsi:type="dcterms:W3CDTF">2025-09-23T06:57:00Z</dcterms:modified>
</cp:coreProperties>
</file>